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E7FDB" w14:textId="77777777" w:rsidR="00363E0D" w:rsidRPr="00BF734E"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 xml:space="preserve">de </w:t>
      </w:r>
      <w:r w:rsidR="00363E0D">
        <w:rPr>
          <w:b/>
          <w:caps/>
          <w:sz w:val="32"/>
        </w:rPr>
        <w:t xml:space="preserve">prestation de </w:t>
      </w:r>
      <w:r w:rsidRPr="00BF734E">
        <w:rPr>
          <w:b/>
          <w:caps/>
          <w:sz w:val="32"/>
        </w:rPr>
        <w:t>service</w:t>
      </w:r>
      <w:r w:rsidR="00363E0D">
        <w:rPr>
          <w:b/>
          <w:caps/>
          <w:sz w:val="32"/>
        </w:rPr>
        <w:t>s d’audits</w:t>
      </w:r>
    </w:p>
    <w:p w14:paraId="039BDA3E" w14:textId="55664120" w:rsidR="00837DF1" w:rsidRPr="00B42F7B" w:rsidRDefault="00837DF1" w:rsidP="00363E0D">
      <w:pPr>
        <w:pBdr>
          <w:top w:val="single" w:sz="4" w:space="1" w:color="auto"/>
          <w:left w:val="single" w:sz="4" w:space="4" w:color="auto"/>
          <w:bottom w:val="single" w:sz="4" w:space="1" w:color="auto"/>
          <w:right w:val="single" w:sz="4" w:space="4" w:color="auto"/>
        </w:pBdr>
        <w:jc w:val="center"/>
        <w:rPr>
          <w:b/>
          <w:sz w:val="28"/>
        </w:rPr>
      </w:pPr>
      <w:r w:rsidRPr="00B42F7B">
        <w:rPr>
          <w:b/>
          <w:sz w:val="28"/>
        </w:rPr>
        <w:t xml:space="preserve">N°: </w:t>
      </w:r>
    </w:p>
    <w:p w14:paraId="0D101C4C" w14:textId="77777777" w:rsidR="00B74758" w:rsidRDefault="00B74758" w:rsidP="001B3C9D">
      <w:pPr>
        <w:tabs>
          <w:tab w:val="right" w:pos="9327"/>
          <w:tab w:val="left" w:pos="10977"/>
        </w:tabs>
        <w:spacing w:after="240" w:afterAutospacing="0"/>
        <w:jc w:val="both"/>
        <w:rPr>
          <w:sz w:val="24"/>
          <w:u w:val="single"/>
        </w:rPr>
      </w:pPr>
    </w:p>
    <w:p w14:paraId="3E1A43AF"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6997C645" w14:textId="77777777" w:rsidTr="00CB2123">
        <w:trPr>
          <w:trHeight w:val="702"/>
        </w:trPr>
        <w:tc>
          <w:tcPr>
            <w:tcW w:w="4644" w:type="dxa"/>
            <w:shd w:val="clear" w:color="auto" w:fill="D9D9D9" w:themeFill="background1" w:themeFillShade="D9"/>
            <w:vAlign w:val="center"/>
          </w:tcPr>
          <w:p w14:paraId="10A373A2"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7E9E3CA6" w14:textId="77777777" w:rsidR="00543FBE" w:rsidRDefault="00543FBE" w:rsidP="001B3C9D">
      <w:pPr>
        <w:tabs>
          <w:tab w:val="right" w:pos="9327"/>
          <w:tab w:val="left" w:pos="10977"/>
        </w:tabs>
        <w:spacing w:after="240" w:afterAutospacing="0"/>
        <w:jc w:val="both"/>
        <w:rPr>
          <w:sz w:val="24"/>
          <w:u w:val="single"/>
        </w:rPr>
      </w:pPr>
    </w:p>
    <w:p w14:paraId="1789A89D" w14:textId="77777777" w:rsidR="00543FBE" w:rsidRDefault="00543FBE" w:rsidP="001B3C9D">
      <w:pPr>
        <w:tabs>
          <w:tab w:val="right" w:pos="9327"/>
          <w:tab w:val="left" w:pos="10977"/>
        </w:tabs>
        <w:spacing w:after="240" w:afterAutospacing="0"/>
        <w:jc w:val="both"/>
        <w:rPr>
          <w:sz w:val="24"/>
          <w:u w:val="single"/>
        </w:rPr>
      </w:pPr>
    </w:p>
    <w:p w14:paraId="17164FB3" w14:textId="77777777" w:rsidR="00543FBE" w:rsidRDefault="00543FBE" w:rsidP="001B3C9D">
      <w:pPr>
        <w:tabs>
          <w:tab w:val="right" w:pos="9327"/>
          <w:tab w:val="left" w:pos="10977"/>
        </w:tabs>
        <w:spacing w:after="240" w:afterAutospacing="0"/>
        <w:jc w:val="both"/>
        <w:rPr>
          <w:sz w:val="24"/>
          <w:u w:val="single"/>
        </w:rPr>
      </w:pPr>
    </w:p>
    <w:p w14:paraId="4DFC5680" w14:textId="77777777"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648F497C"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680303D8" w14:textId="77777777" w:rsidR="00F26086" w:rsidRPr="00363E0D" w:rsidRDefault="00F26086" w:rsidP="00160DE3">
      <w:pPr>
        <w:tabs>
          <w:tab w:val="right" w:pos="9356"/>
        </w:tabs>
        <w:spacing w:before="0" w:beforeAutospacing="0" w:after="0" w:afterAutospacing="0" w:line="300" w:lineRule="atLeast"/>
        <w:jc w:val="both"/>
        <w:rPr>
          <w:sz w:val="22"/>
          <w:szCs w:val="22"/>
        </w:rPr>
      </w:pPr>
      <w:r w:rsidRPr="00363E0D">
        <w:rPr>
          <w:sz w:val="22"/>
          <w:szCs w:val="22"/>
        </w:rPr>
        <w:t>Le présent contrat est soumis au Code de la commande publique français (CCP) dans sa version en vigueur issue de l'</w:t>
      </w:r>
      <w:hyperlink r:id="rId8" w:history="1">
        <w:r w:rsidRPr="00363E0D">
          <w:rPr>
            <w:sz w:val="22"/>
            <w:szCs w:val="22"/>
          </w:rPr>
          <w:t>ordonnance n° 2018-1074 du 26 novembre 2018</w:t>
        </w:r>
      </w:hyperlink>
      <w:r w:rsidRPr="00363E0D">
        <w:rPr>
          <w:sz w:val="22"/>
          <w:szCs w:val="22"/>
        </w:rPr>
        <w:t xml:space="preserve"> portant partie législative et du </w:t>
      </w:r>
      <w:hyperlink r:id="rId9" w:history="1">
        <w:r w:rsidRPr="00363E0D">
          <w:rPr>
            <w:sz w:val="22"/>
            <w:szCs w:val="22"/>
          </w:rPr>
          <w:t>décret n° 2018-1075 du 3 décembre 2018</w:t>
        </w:r>
      </w:hyperlink>
      <w:r w:rsidRPr="00363E0D">
        <w:rPr>
          <w:sz w:val="22"/>
          <w:szCs w:val="22"/>
        </w:rPr>
        <w:t xml:space="preserve"> portant partie réglementaire du Code de la commande publique.</w:t>
      </w:r>
    </w:p>
    <w:p w14:paraId="56B76197" w14:textId="77777777" w:rsidR="00F26086" w:rsidRPr="00363E0D" w:rsidRDefault="00F26086" w:rsidP="00F26086">
      <w:pPr>
        <w:tabs>
          <w:tab w:val="left" w:pos="510"/>
          <w:tab w:val="left" w:pos="10977"/>
        </w:tabs>
        <w:spacing w:before="120"/>
        <w:ind w:right="83"/>
        <w:jc w:val="both"/>
        <w:rPr>
          <w:sz w:val="22"/>
          <w:szCs w:val="22"/>
        </w:rPr>
      </w:pPr>
      <w:r w:rsidRPr="00363E0D">
        <w:rPr>
          <w:sz w:val="22"/>
          <w:szCs w:val="22"/>
        </w:rPr>
        <w:t xml:space="preserve">Il est passé par </w:t>
      </w:r>
      <w:r w:rsidR="00363E0D" w:rsidRPr="00363E0D">
        <w:rPr>
          <w:sz w:val="22"/>
          <w:szCs w:val="22"/>
        </w:rPr>
        <w:t>une procédure d’</w:t>
      </w:r>
      <w:r w:rsidRPr="00363E0D">
        <w:rPr>
          <w:sz w:val="22"/>
          <w:szCs w:val="22"/>
        </w:rPr>
        <w:t>appel d’offres ouvert en application des articles L. 2124-2, R. 2161-2, R. 2161-3</w:t>
      </w:r>
      <w:r w:rsidR="00363E0D" w:rsidRPr="00363E0D">
        <w:rPr>
          <w:sz w:val="22"/>
          <w:szCs w:val="22"/>
        </w:rPr>
        <w:t>, R. 2161-4 et R. 2161-5 du CCP.</w:t>
      </w:r>
    </w:p>
    <w:p w14:paraId="5427BBD1" w14:textId="77777777" w:rsidR="00A62B15" w:rsidRPr="00363E0D" w:rsidRDefault="00A62B15" w:rsidP="00F26086">
      <w:pPr>
        <w:tabs>
          <w:tab w:val="right" w:pos="9327"/>
        </w:tabs>
        <w:spacing w:before="0" w:beforeAutospacing="0" w:after="0" w:afterAutospacing="0"/>
        <w:rPr>
          <w:sz w:val="22"/>
          <w:szCs w:val="22"/>
        </w:rPr>
      </w:pPr>
    </w:p>
    <w:p w14:paraId="0088717D" w14:textId="77777777" w:rsidR="00345D42" w:rsidRDefault="00363E0D" w:rsidP="00E43882">
      <w:pPr>
        <w:tabs>
          <w:tab w:val="right" w:pos="9327"/>
        </w:tabs>
        <w:spacing w:before="0" w:beforeAutospacing="0" w:after="0" w:afterAutospacing="0"/>
        <w:jc w:val="both"/>
        <w:rPr>
          <w:sz w:val="22"/>
          <w:szCs w:val="22"/>
        </w:rPr>
      </w:pPr>
      <w:r w:rsidRPr="00363E0D">
        <w:rPr>
          <w:sz w:val="22"/>
          <w:szCs w:val="22"/>
        </w:rPr>
        <w:t>Le présent contrat est un a</w:t>
      </w:r>
      <w:r w:rsidR="00A62B15" w:rsidRPr="00363E0D">
        <w:rPr>
          <w:sz w:val="22"/>
          <w:szCs w:val="22"/>
        </w:rPr>
        <w:t xml:space="preserve">ccord-cadre </w:t>
      </w:r>
      <w:r w:rsidR="00E43882">
        <w:rPr>
          <w:sz w:val="22"/>
          <w:szCs w:val="22"/>
        </w:rPr>
        <w:t xml:space="preserve">mono-attributaire </w:t>
      </w:r>
      <w:r w:rsidR="00A62B15" w:rsidRPr="00363E0D">
        <w:rPr>
          <w:sz w:val="22"/>
          <w:szCs w:val="22"/>
        </w:rPr>
        <w:t xml:space="preserve">à bons de commande </w:t>
      </w:r>
      <w:r w:rsidRPr="00363E0D">
        <w:rPr>
          <w:sz w:val="22"/>
          <w:szCs w:val="22"/>
        </w:rPr>
        <w:t xml:space="preserve">et </w:t>
      </w:r>
      <w:r w:rsidR="00A62B15" w:rsidRPr="00363E0D">
        <w:rPr>
          <w:sz w:val="22"/>
          <w:szCs w:val="22"/>
        </w:rPr>
        <w:t xml:space="preserve">à marchés subséquent </w:t>
      </w:r>
      <w:r w:rsidRPr="00363E0D">
        <w:rPr>
          <w:sz w:val="22"/>
          <w:szCs w:val="22"/>
        </w:rPr>
        <w:t xml:space="preserve">et </w:t>
      </w:r>
      <w:r w:rsidR="00A62B15" w:rsidRPr="00363E0D">
        <w:rPr>
          <w:sz w:val="22"/>
          <w:szCs w:val="22"/>
        </w:rPr>
        <w:t>s’entend au sens des</w:t>
      </w:r>
      <w:r w:rsidR="00AC53CA" w:rsidRPr="00363E0D">
        <w:rPr>
          <w:sz w:val="22"/>
          <w:szCs w:val="22"/>
        </w:rPr>
        <w:t xml:space="preserve"> articles R. 2162-1 et R.2162-</w:t>
      </w:r>
      <w:r w:rsidR="00A62B15" w:rsidRPr="00363E0D">
        <w:rPr>
          <w:sz w:val="22"/>
          <w:szCs w:val="22"/>
        </w:rPr>
        <w:t>14 du CCP</w:t>
      </w:r>
      <w:r w:rsidR="00AC53CA" w:rsidRPr="00363E0D">
        <w:rPr>
          <w:sz w:val="22"/>
          <w:szCs w:val="22"/>
        </w:rPr>
        <w:t>.</w:t>
      </w:r>
    </w:p>
    <w:p w14:paraId="135D123A" w14:textId="0690F47F" w:rsidR="00ED47AF" w:rsidRDefault="00ED47AF" w:rsidP="00E43882">
      <w:pPr>
        <w:tabs>
          <w:tab w:val="right" w:pos="9327"/>
        </w:tabs>
        <w:spacing w:before="0" w:beforeAutospacing="0" w:after="0" w:afterAutospacing="0"/>
        <w:jc w:val="both"/>
        <w:rPr>
          <w:sz w:val="22"/>
          <w:szCs w:val="22"/>
        </w:rPr>
      </w:pPr>
    </w:p>
    <w:p w14:paraId="3CFED1E1" w14:textId="77777777" w:rsidR="00E07ACB" w:rsidRDefault="00E07ACB" w:rsidP="00E43882">
      <w:pPr>
        <w:tabs>
          <w:tab w:val="right" w:pos="9327"/>
        </w:tabs>
        <w:spacing w:before="0" w:beforeAutospacing="0" w:after="0" w:afterAutospacing="0"/>
        <w:jc w:val="both"/>
        <w:rPr>
          <w:sz w:val="22"/>
          <w:szCs w:val="22"/>
        </w:rPr>
      </w:pPr>
    </w:p>
    <w:p w14:paraId="5A5BA12D" w14:textId="77777777" w:rsidR="00E07ACB" w:rsidRDefault="00E07ACB" w:rsidP="00E43882">
      <w:pPr>
        <w:tabs>
          <w:tab w:val="right" w:pos="9327"/>
        </w:tabs>
        <w:spacing w:before="0" w:beforeAutospacing="0" w:after="0" w:afterAutospacing="0"/>
        <w:jc w:val="both"/>
        <w:rPr>
          <w:sz w:val="22"/>
          <w:szCs w:val="22"/>
        </w:rPr>
      </w:pPr>
    </w:p>
    <w:p w14:paraId="4AE6A393" w14:textId="77777777" w:rsidR="00E07ACB" w:rsidRDefault="00E07ACB" w:rsidP="00E43882">
      <w:pPr>
        <w:tabs>
          <w:tab w:val="right" w:pos="9327"/>
        </w:tabs>
        <w:spacing w:before="0" w:beforeAutospacing="0" w:after="0" w:afterAutospacing="0"/>
        <w:jc w:val="both"/>
        <w:rPr>
          <w:sz w:val="22"/>
          <w:szCs w:val="22"/>
        </w:rPr>
      </w:pPr>
    </w:p>
    <w:p w14:paraId="743348E9" w14:textId="77777777" w:rsidR="00E07ACB" w:rsidRDefault="00E07ACB">
      <w:pPr>
        <w:spacing w:before="0" w:beforeAutospacing="0" w:after="0" w:afterAutospacing="0"/>
        <w:rPr>
          <w:sz w:val="22"/>
          <w:szCs w:val="22"/>
        </w:rPr>
      </w:pPr>
      <w:r>
        <w:rPr>
          <w:sz w:val="22"/>
          <w:szCs w:val="22"/>
        </w:rPr>
        <w:br w:type="page"/>
      </w:r>
    </w:p>
    <w:sdt>
      <w:sdtPr>
        <w:id w:val="689342448"/>
        <w:docPartObj>
          <w:docPartGallery w:val="Table of Contents"/>
          <w:docPartUnique/>
        </w:docPartObj>
      </w:sdtPr>
      <w:sdtEndPr>
        <w:rPr>
          <w:rFonts w:asciiTheme="minorHAnsi" w:eastAsia="Times New Roman" w:hAnsiTheme="minorHAnsi" w:cs="Times New Roman"/>
          <w:b/>
          <w:bCs/>
          <w:color w:val="auto"/>
          <w:sz w:val="20"/>
          <w:szCs w:val="24"/>
        </w:rPr>
      </w:sdtEndPr>
      <w:sdtContent>
        <w:p w14:paraId="2E027CD6" w14:textId="4C319463" w:rsidR="00E07ACB" w:rsidRDefault="00E07ACB">
          <w:pPr>
            <w:pStyle w:val="En-ttedetabledesmatires"/>
          </w:pPr>
          <w:r>
            <w:t>Table des matières</w:t>
          </w:r>
        </w:p>
        <w:p w14:paraId="23DEAF44" w14:textId="5C52007C" w:rsidR="00164983" w:rsidRDefault="00E07ACB">
          <w:pPr>
            <w:pStyle w:val="TM2"/>
            <w:tabs>
              <w:tab w:val="right" w:leader="dot" w:pos="9317"/>
            </w:tabs>
            <w:rPr>
              <w:rFonts w:eastAsiaTheme="minorEastAsia" w:cstheme="minorBidi"/>
              <w:noProof/>
              <w:sz w:val="22"/>
              <w:szCs w:val="22"/>
            </w:rPr>
          </w:pPr>
          <w:r>
            <w:fldChar w:fldCharType="begin"/>
          </w:r>
          <w:r>
            <w:instrText xml:space="preserve"> TOC \o "1-3" \h \z \u </w:instrText>
          </w:r>
          <w:r>
            <w:fldChar w:fldCharType="separate"/>
          </w:r>
          <w:hyperlink w:anchor="_Toc201856525" w:history="1">
            <w:r w:rsidR="00164983" w:rsidRPr="00FE5470">
              <w:rPr>
                <w:rStyle w:val="Lienhypertexte"/>
                <w:noProof/>
              </w:rPr>
              <w:t>Article I.1 – Objet</w:t>
            </w:r>
            <w:r w:rsidR="00164983">
              <w:rPr>
                <w:noProof/>
                <w:webHidden/>
              </w:rPr>
              <w:tab/>
            </w:r>
            <w:r w:rsidR="00164983">
              <w:rPr>
                <w:noProof/>
                <w:webHidden/>
              </w:rPr>
              <w:fldChar w:fldCharType="begin"/>
            </w:r>
            <w:r w:rsidR="00164983">
              <w:rPr>
                <w:noProof/>
                <w:webHidden/>
              </w:rPr>
              <w:instrText xml:space="preserve"> PAGEREF _Toc201856525 \h </w:instrText>
            </w:r>
            <w:r w:rsidR="00164983">
              <w:rPr>
                <w:noProof/>
                <w:webHidden/>
              </w:rPr>
            </w:r>
            <w:r w:rsidR="00164983">
              <w:rPr>
                <w:noProof/>
                <w:webHidden/>
              </w:rPr>
              <w:fldChar w:fldCharType="separate"/>
            </w:r>
            <w:r w:rsidR="00164983">
              <w:rPr>
                <w:noProof/>
                <w:webHidden/>
              </w:rPr>
              <w:t>8</w:t>
            </w:r>
            <w:r w:rsidR="00164983">
              <w:rPr>
                <w:noProof/>
                <w:webHidden/>
              </w:rPr>
              <w:fldChar w:fldCharType="end"/>
            </w:r>
          </w:hyperlink>
        </w:p>
        <w:p w14:paraId="30F68604" w14:textId="460546E9" w:rsidR="00164983" w:rsidRDefault="00164983">
          <w:pPr>
            <w:pStyle w:val="TM2"/>
            <w:tabs>
              <w:tab w:val="right" w:leader="dot" w:pos="9317"/>
            </w:tabs>
            <w:rPr>
              <w:rFonts w:eastAsiaTheme="minorEastAsia" w:cstheme="minorBidi"/>
              <w:noProof/>
              <w:sz w:val="22"/>
              <w:szCs w:val="22"/>
            </w:rPr>
          </w:pPr>
          <w:hyperlink w:anchor="_Toc201856526" w:history="1">
            <w:r w:rsidRPr="00FE5470">
              <w:rPr>
                <w:rStyle w:val="Lienhypertexte"/>
                <w:noProof/>
              </w:rPr>
              <w:t>Article I.2 – Entrée en vigueur et durée</w:t>
            </w:r>
            <w:r>
              <w:rPr>
                <w:noProof/>
                <w:webHidden/>
              </w:rPr>
              <w:tab/>
            </w:r>
            <w:r>
              <w:rPr>
                <w:noProof/>
                <w:webHidden/>
              </w:rPr>
              <w:fldChar w:fldCharType="begin"/>
            </w:r>
            <w:r>
              <w:rPr>
                <w:noProof/>
                <w:webHidden/>
              </w:rPr>
              <w:instrText xml:space="preserve"> PAGEREF _Toc201856526 \h </w:instrText>
            </w:r>
            <w:r>
              <w:rPr>
                <w:noProof/>
                <w:webHidden/>
              </w:rPr>
            </w:r>
            <w:r>
              <w:rPr>
                <w:noProof/>
                <w:webHidden/>
              </w:rPr>
              <w:fldChar w:fldCharType="separate"/>
            </w:r>
            <w:r>
              <w:rPr>
                <w:noProof/>
                <w:webHidden/>
              </w:rPr>
              <w:t>8</w:t>
            </w:r>
            <w:r>
              <w:rPr>
                <w:noProof/>
                <w:webHidden/>
              </w:rPr>
              <w:fldChar w:fldCharType="end"/>
            </w:r>
          </w:hyperlink>
        </w:p>
        <w:p w14:paraId="7C8017C6" w14:textId="5861F11A" w:rsidR="00164983" w:rsidRDefault="00164983">
          <w:pPr>
            <w:pStyle w:val="TM2"/>
            <w:tabs>
              <w:tab w:val="right" w:leader="dot" w:pos="9317"/>
            </w:tabs>
            <w:rPr>
              <w:rFonts w:eastAsiaTheme="minorEastAsia" w:cstheme="minorBidi"/>
              <w:noProof/>
              <w:sz w:val="22"/>
              <w:szCs w:val="22"/>
            </w:rPr>
          </w:pPr>
          <w:hyperlink w:anchor="_Toc201856527" w:history="1">
            <w:r w:rsidRPr="00FE5470">
              <w:rPr>
                <w:rStyle w:val="Lienhypertexte"/>
                <w:noProof/>
              </w:rPr>
              <w:t>Article I.3 – Prix</w:t>
            </w:r>
            <w:r>
              <w:rPr>
                <w:noProof/>
                <w:webHidden/>
              </w:rPr>
              <w:tab/>
            </w:r>
            <w:r>
              <w:rPr>
                <w:noProof/>
                <w:webHidden/>
              </w:rPr>
              <w:fldChar w:fldCharType="begin"/>
            </w:r>
            <w:r>
              <w:rPr>
                <w:noProof/>
                <w:webHidden/>
              </w:rPr>
              <w:instrText xml:space="preserve"> PAGEREF _Toc201856527 \h </w:instrText>
            </w:r>
            <w:r>
              <w:rPr>
                <w:noProof/>
                <w:webHidden/>
              </w:rPr>
            </w:r>
            <w:r>
              <w:rPr>
                <w:noProof/>
                <w:webHidden/>
              </w:rPr>
              <w:fldChar w:fldCharType="separate"/>
            </w:r>
            <w:r>
              <w:rPr>
                <w:noProof/>
                <w:webHidden/>
              </w:rPr>
              <w:t>9</w:t>
            </w:r>
            <w:r>
              <w:rPr>
                <w:noProof/>
                <w:webHidden/>
              </w:rPr>
              <w:fldChar w:fldCharType="end"/>
            </w:r>
          </w:hyperlink>
        </w:p>
        <w:p w14:paraId="591CFC57" w14:textId="05618B5D" w:rsidR="00164983" w:rsidRDefault="00164983">
          <w:pPr>
            <w:pStyle w:val="TM3"/>
            <w:tabs>
              <w:tab w:val="right" w:leader="dot" w:pos="9317"/>
            </w:tabs>
            <w:rPr>
              <w:rFonts w:eastAsiaTheme="minorEastAsia" w:cstheme="minorBidi"/>
              <w:noProof/>
              <w:sz w:val="22"/>
              <w:szCs w:val="22"/>
            </w:rPr>
          </w:pPr>
          <w:hyperlink w:anchor="_Toc201856528" w:history="1">
            <w:r w:rsidRPr="00FE5470">
              <w:rPr>
                <w:rStyle w:val="Lienhypertexte"/>
                <w:b/>
                <w:noProof/>
                <w:lang w:eastAsia="ko-KR"/>
              </w:rPr>
              <w:t>I.3.2 Révision des prix</w:t>
            </w:r>
            <w:r>
              <w:rPr>
                <w:noProof/>
                <w:webHidden/>
              </w:rPr>
              <w:tab/>
            </w:r>
            <w:r>
              <w:rPr>
                <w:noProof/>
                <w:webHidden/>
              </w:rPr>
              <w:fldChar w:fldCharType="begin"/>
            </w:r>
            <w:r>
              <w:rPr>
                <w:noProof/>
                <w:webHidden/>
              </w:rPr>
              <w:instrText xml:space="preserve"> PAGEREF _Toc201856528 \h </w:instrText>
            </w:r>
            <w:r>
              <w:rPr>
                <w:noProof/>
                <w:webHidden/>
              </w:rPr>
            </w:r>
            <w:r>
              <w:rPr>
                <w:noProof/>
                <w:webHidden/>
              </w:rPr>
              <w:fldChar w:fldCharType="separate"/>
            </w:r>
            <w:r>
              <w:rPr>
                <w:noProof/>
                <w:webHidden/>
              </w:rPr>
              <w:t>10</w:t>
            </w:r>
            <w:r>
              <w:rPr>
                <w:noProof/>
                <w:webHidden/>
              </w:rPr>
              <w:fldChar w:fldCharType="end"/>
            </w:r>
          </w:hyperlink>
        </w:p>
        <w:p w14:paraId="480987B9" w14:textId="5D039D9D" w:rsidR="00164983" w:rsidRDefault="00164983">
          <w:pPr>
            <w:pStyle w:val="TM3"/>
            <w:tabs>
              <w:tab w:val="left" w:pos="1100"/>
              <w:tab w:val="right" w:leader="dot" w:pos="9317"/>
            </w:tabs>
            <w:rPr>
              <w:rFonts w:eastAsiaTheme="minorEastAsia" w:cstheme="minorBidi"/>
              <w:noProof/>
              <w:sz w:val="22"/>
              <w:szCs w:val="22"/>
            </w:rPr>
          </w:pPr>
          <w:hyperlink w:anchor="_Toc201856529" w:history="1">
            <w:r w:rsidRPr="00FE5470">
              <w:rPr>
                <w:rStyle w:val="Lienhypertexte"/>
                <w:b/>
                <w:noProof/>
                <w:lang w:eastAsia="ko-KR"/>
              </w:rPr>
              <w:t>I.3.3.</w:t>
            </w:r>
            <w:r>
              <w:rPr>
                <w:rFonts w:eastAsiaTheme="minorEastAsia" w:cstheme="minorBidi"/>
                <w:noProof/>
                <w:sz w:val="22"/>
                <w:szCs w:val="22"/>
              </w:rPr>
              <w:tab/>
            </w:r>
            <w:r w:rsidRPr="00FE5470">
              <w:rPr>
                <w:rStyle w:val="Lienhypertexte"/>
                <w:b/>
                <w:noProof/>
                <w:lang w:eastAsia="ko-KR"/>
              </w:rPr>
              <w:t>Remboursement de frais</w:t>
            </w:r>
            <w:r>
              <w:rPr>
                <w:noProof/>
                <w:webHidden/>
              </w:rPr>
              <w:tab/>
            </w:r>
            <w:r>
              <w:rPr>
                <w:noProof/>
                <w:webHidden/>
              </w:rPr>
              <w:fldChar w:fldCharType="begin"/>
            </w:r>
            <w:r>
              <w:rPr>
                <w:noProof/>
                <w:webHidden/>
              </w:rPr>
              <w:instrText xml:space="preserve"> PAGEREF _Toc201856529 \h </w:instrText>
            </w:r>
            <w:r>
              <w:rPr>
                <w:noProof/>
                <w:webHidden/>
              </w:rPr>
            </w:r>
            <w:r>
              <w:rPr>
                <w:noProof/>
                <w:webHidden/>
              </w:rPr>
              <w:fldChar w:fldCharType="separate"/>
            </w:r>
            <w:r>
              <w:rPr>
                <w:noProof/>
                <w:webHidden/>
              </w:rPr>
              <w:t>11</w:t>
            </w:r>
            <w:r>
              <w:rPr>
                <w:noProof/>
                <w:webHidden/>
              </w:rPr>
              <w:fldChar w:fldCharType="end"/>
            </w:r>
          </w:hyperlink>
        </w:p>
        <w:p w14:paraId="30A89030" w14:textId="7171F432" w:rsidR="00164983" w:rsidRDefault="00164983">
          <w:pPr>
            <w:pStyle w:val="TM2"/>
            <w:tabs>
              <w:tab w:val="right" w:leader="dot" w:pos="9317"/>
            </w:tabs>
            <w:rPr>
              <w:rFonts w:eastAsiaTheme="minorEastAsia" w:cstheme="minorBidi"/>
              <w:noProof/>
              <w:sz w:val="22"/>
              <w:szCs w:val="22"/>
            </w:rPr>
          </w:pPr>
          <w:hyperlink w:anchor="_Toc201856530" w:history="1">
            <w:r w:rsidRPr="00FE5470">
              <w:rPr>
                <w:rStyle w:val="Lienhypertexte"/>
                <w:noProof/>
              </w:rPr>
              <w:t>Article I.4 – Modalités de paiement et exécution du contrat-cadre</w:t>
            </w:r>
            <w:r>
              <w:rPr>
                <w:noProof/>
                <w:webHidden/>
              </w:rPr>
              <w:tab/>
            </w:r>
            <w:r>
              <w:rPr>
                <w:noProof/>
                <w:webHidden/>
              </w:rPr>
              <w:fldChar w:fldCharType="begin"/>
            </w:r>
            <w:r>
              <w:rPr>
                <w:noProof/>
                <w:webHidden/>
              </w:rPr>
              <w:instrText xml:space="preserve"> PAGEREF _Toc201856530 \h </w:instrText>
            </w:r>
            <w:r>
              <w:rPr>
                <w:noProof/>
                <w:webHidden/>
              </w:rPr>
            </w:r>
            <w:r>
              <w:rPr>
                <w:noProof/>
                <w:webHidden/>
              </w:rPr>
              <w:fldChar w:fldCharType="separate"/>
            </w:r>
            <w:r>
              <w:rPr>
                <w:noProof/>
                <w:webHidden/>
              </w:rPr>
              <w:t>11</w:t>
            </w:r>
            <w:r>
              <w:rPr>
                <w:noProof/>
                <w:webHidden/>
              </w:rPr>
              <w:fldChar w:fldCharType="end"/>
            </w:r>
          </w:hyperlink>
        </w:p>
        <w:p w14:paraId="4DB03BF5" w14:textId="0EFDC1C4" w:rsidR="00164983" w:rsidRDefault="00164983">
          <w:pPr>
            <w:pStyle w:val="TM3"/>
            <w:tabs>
              <w:tab w:val="left" w:pos="1100"/>
              <w:tab w:val="right" w:leader="dot" w:pos="9317"/>
            </w:tabs>
            <w:rPr>
              <w:rFonts w:eastAsiaTheme="minorEastAsia" w:cstheme="minorBidi"/>
              <w:noProof/>
              <w:sz w:val="22"/>
              <w:szCs w:val="22"/>
            </w:rPr>
          </w:pPr>
          <w:hyperlink w:anchor="_Toc201856531" w:history="1">
            <w:r w:rsidRPr="00FE5470">
              <w:rPr>
                <w:rStyle w:val="Lienhypertexte"/>
                <w:b/>
                <w:noProof/>
                <w:lang w:eastAsia="ko-KR"/>
              </w:rPr>
              <w:t>I.4.1</w:t>
            </w:r>
            <w:r>
              <w:rPr>
                <w:rFonts w:eastAsiaTheme="minorEastAsia" w:cstheme="minorBidi"/>
                <w:noProof/>
                <w:sz w:val="22"/>
                <w:szCs w:val="22"/>
              </w:rPr>
              <w:tab/>
            </w:r>
            <w:r w:rsidRPr="00FE5470">
              <w:rPr>
                <w:rStyle w:val="Lienhypertexte"/>
                <w:b/>
                <w:noProof/>
                <w:lang w:eastAsia="ko-KR"/>
              </w:rPr>
              <w:t>Contrat-cadre simple</w:t>
            </w:r>
            <w:r>
              <w:rPr>
                <w:noProof/>
                <w:webHidden/>
              </w:rPr>
              <w:tab/>
            </w:r>
            <w:r>
              <w:rPr>
                <w:noProof/>
                <w:webHidden/>
              </w:rPr>
              <w:fldChar w:fldCharType="begin"/>
            </w:r>
            <w:r>
              <w:rPr>
                <w:noProof/>
                <w:webHidden/>
              </w:rPr>
              <w:instrText xml:space="preserve"> PAGEREF _Toc201856531 \h </w:instrText>
            </w:r>
            <w:r>
              <w:rPr>
                <w:noProof/>
                <w:webHidden/>
              </w:rPr>
            </w:r>
            <w:r>
              <w:rPr>
                <w:noProof/>
                <w:webHidden/>
              </w:rPr>
              <w:fldChar w:fldCharType="separate"/>
            </w:r>
            <w:r>
              <w:rPr>
                <w:noProof/>
                <w:webHidden/>
              </w:rPr>
              <w:t>11</w:t>
            </w:r>
            <w:r>
              <w:rPr>
                <w:noProof/>
                <w:webHidden/>
              </w:rPr>
              <w:fldChar w:fldCharType="end"/>
            </w:r>
          </w:hyperlink>
        </w:p>
        <w:p w14:paraId="7CF8FA85" w14:textId="09C51CDB" w:rsidR="00164983" w:rsidRDefault="00164983">
          <w:pPr>
            <w:pStyle w:val="TM2"/>
            <w:tabs>
              <w:tab w:val="right" w:leader="dot" w:pos="9317"/>
            </w:tabs>
            <w:rPr>
              <w:rFonts w:eastAsiaTheme="minorEastAsia" w:cstheme="minorBidi"/>
              <w:noProof/>
              <w:sz w:val="22"/>
              <w:szCs w:val="22"/>
            </w:rPr>
          </w:pPr>
          <w:hyperlink w:anchor="_Toc201856532" w:history="1">
            <w:r w:rsidRPr="00FE5470">
              <w:rPr>
                <w:rStyle w:val="Lienhypertexte"/>
                <w:noProof/>
              </w:rPr>
              <w:t>Article I.5 – Compte bancaire</w:t>
            </w:r>
            <w:r>
              <w:rPr>
                <w:noProof/>
                <w:webHidden/>
              </w:rPr>
              <w:tab/>
            </w:r>
            <w:r>
              <w:rPr>
                <w:noProof/>
                <w:webHidden/>
              </w:rPr>
              <w:fldChar w:fldCharType="begin"/>
            </w:r>
            <w:r>
              <w:rPr>
                <w:noProof/>
                <w:webHidden/>
              </w:rPr>
              <w:instrText xml:space="preserve"> PAGEREF _Toc201856532 \h </w:instrText>
            </w:r>
            <w:r>
              <w:rPr>
                <w:noProof/>
                <w:webHidden/>
              </w:rPr>
            </w:r>
            <w:r>
              <w:rPr>
                <w:noProof/>
                <w:webHidden/>
              </w:rPr>
              <w:fldChar w:fldCharType="separate"/>
            </w:r>
            <w:r>
              <w:rPr>
                <w:noProof/>
                <w:webHidden/>
              </w:rPr>
              <w:t>13</w:t>
            </w:r>
            <w:r>
              <w:rPr>
                <w:noProof/>
                <w:webHidden/>
              </w:rPr>
              <w:fldChar w:fldCharType="end"/>
            </w:r>
          </w:hyperlink>
        </w:p>
        <w:p w14:paraId="76AFBC52" w14:textId="1BC6E478" w:rsidR="00164983" w:rsidRDefault="00164983">
          <w:pPr>
            <w:pStyle w:val="TM2"/>
            <w:tabs>
              <w:tab w:val="right" w:leader="dot" w:pos="9317"/>
            </w:tabs>
            <w:rPr>
              <w:rFonts w:eastAsiaTheme="minorEastAsia" w:cstheme="minorBidi"/>
              <w:noProof/>
              <w:sz w:val="22"/>
              <w:szCs w:val="22"/>
            </w:rPr>
          </w:pPr>
          <w:hyperlink w:anchor="_Toc201856533" w:history="1">
            <w:r w:rsidRPr="00FE5470">
              <w:rPr>
                <w:rStyle w:val="Lienhypertexte"/>
                <w:noProof/>
              </w:rPr>
              <w:t>Article I.6 – Modalités de communication et responsable du traitement des données</w:t>
            </w:r>
            <w:r>
              <w:rPr>
                <w:noProof/>
                <w:webHidden/>
              </w:rPr>
              <w:tab/>
            </w:r>
            <w:r>
              <w:rPr>
                <w:noProof/>
                <w:webHidden/>
              </w:rPr>
              <w:fldChar w:fldCharType="begin"/>
            </w:r>
            <w:r>
              <w:rPr>
                <w:noProof/>
                <w:webHidden/>
              </w:rPr>
              <w:instrText xml:space="preserve"> PAGEREF _Toc201856533 \h </w:instrText>
            </w:r>
            <w:r>
              <w:rPr>
                <w:noProof/>
                <w:webHidden/>
              </w:rPr>
            </w:r>
            <w:r>
              <w:rPr>
                <w:noProof/>
                <w:webHidden/>
              </w:rPr>
              <w:fldChar w:fldCharType="separate"/>
            </w:r>
            <w:r>
              <w:rPr>
                <w:noProof/>
                <w:webHidden/>
              </w:rPr>
              <w:t>14</w:t>
            </w:r>
            <w:r>
              <w:rPr>
                <w:noProof/>
                <w:webHidden/>
              </w:rPr>
              <w:fldChar w:fldCharType="end"/>
            </w:r>
          </w:hyperlink>
        </w:p>
        <w:p w14:paraId="4ED8874E" w14:textId="5E5329ED" w:rsidR="00164983" w:rsidRDefault="00164983">
          <w:pPr>
            <w:pStyle w:val="TM2"/>
            <w:tabs>
              <w:tab w:val="right" w:leader="dot" w:pos="9317"/>
            </w:tabs>
            <w:rPr>
              <w:rFonts w:eastAsiaTheme="minorEastAsia" w:cstheme="minorBidi"/>
              <w:noProof/>
              <w:sz w:val="22"/>
              <w:szCs w:val="22"/>
            </w:rPr>
          </w:pPr>
          <w:hyperlink w:anchor="_Toc201856534" w:history="1">
            <w:r w:rsidRPr="00FE5470">
              <w:rPr>
                <w:rStyle w:val="Lienhypertexte"/>
                <w:noProof/>
              </w:rPr>
              <w:t>Article I.7 – Loi applicable et règlement des litiges</w:t>
            </w:r>
            <w:r>
              <w:rPr>
                <w:noProof/>
                <w:webHidden/>
              </w:rPr>
              <w:tab/>
            </w:r>
            <w:r>
              <w:rPr>
                <w:noProof/>
                <w:webHidden/>
              </w:rPr>
              <w:fldChar w:fldCharType="begin"/>
            </w:r>
            <w:r>
              <w:rPr>
                <w:noProof/>
                <w:webHidden/>
              </w:rPr>
              <w:instrText xml:space="preserve"> PAGEREF _Toc201856534 \h </w:instrText>
            </w:r>
            <w:r>
              <w:rPr>
                <w:noProof/>
                <w:webHidden/>
              </w:rPr>
            </w:r>
            <w:r>
              <w:rPr>
                <w:noProof/>
                <w:webHidden/>
              </w:rPr>
              <w:fldChar w:fldCharType="separate"/>
            </w:r>
            <w:r>
              <w:rPr>
                <w:noProof/>
                <w:webHidden/>
              </w:rPr>
              <w:t>14</w:t>
            </w:r>
            <w:r>
              <w:rPr>
                <w:noProof/>
                <w:webHidden/>
              </w:rPr>
              <w:fldChar w:fldCharType="end"/>
            </w:r>
          </w:hyperlink>
        </w:p>
        <w:p w14:paraId="63CB9C5E" w14:textId="17E0746F" w:rsidR="00164983" w:rsidRDefault="00164983">
          <w:pPr>
            <w:pStyle w:val="TM2"/>
            <w:tabs>
              <w:tab w:val="right" w:leader="dot" w:pos="9317"/>
            </w:tabs>
            <w:rPr>
              <w:rFonts w:eastAsiaTheme="minorEastAsia" w:cstheme="minorBidi"/>
              <w:noProof/>
              <w:sz w:val="22"/>
              <w:szCs w:val="22"/>
            </w:rPr>
          </w:pPr>
          <w:hyperlink w:anchor="_Toc201856535" w:history="1">
            <w:r w:rsidRPr="00FE5470">
              <w:rPr>
                <w:rStyle w:val="Lienhypertexte"/>
                <w:noProof/>
              </w:rPr>
              <w:t>Article I.8</w:t>
            </w:r>
            <w:r w:rsidRPr="00FE5470">
              <w:rPr>
                <w:rStyle w:val="Lienhypertexte"/>
                <w:noProof/>
                <w:vertAlign w:val="superscript"/>
              </w:rPr>
              <w:t xml:space="preserve"> </w:t>
            </w:r>
            <w:r w:rsidRPr="00FE5470">
              <w:rPr>
                <w:rStyle w:val="Lienhypertexte"/>
                <w:noProof/>
              </w:rPr>
              <w:t>- Exploitation des résultats du CC</w:t>
            </w:r>
            <w:r>
              <w:rPr>
                <w:noProof/>
                <w:webHidden/>
              </w:rPr>
              <w:tab/>
            </w:r>
            <w:r>
              <w:rPr>
                <w:noProof/>
                <w:webHidden/>
              </w:rPr>
              <w:fldChar w:fldCharType="begin"/>
            </w:r>
            <w:r>
              <w:rPr>
                <w:noProof/>
                <w:webHidden/>
              </w:rPr>
              <w:instrText xml:space="preserve"> PAGEREF _Toc201856535 \h </w:instrText>
            </w:r>
            <w:r>
              <w:rPr>
                <w:noProof/>
                <w:webHidden/>
              </w:rPr>
            </w:r>
            <w:r>
              <w:rPr>
                <w:noProof/>
                <w:webHidden/>
              </w:rPr>
              <w:fldChar w:fldCharType="separate"/>
            </w:r>
            <w:r>
              <w:rPr>
                <w:noProof/>
                <w:webHidden/>
              </w:rPr>
              <w:t>14</w:t>
            </w:r>
            <w:r>
              <w:rPr>
                <w:noProof/>
                <w:webHidden/>
              </w:rPr>
              <w:fldChar w:fldCharType="end"/>
            </w:r>
          </w:hyperlink>
        </w:p>
        <w:p w14:paraId="153AA49B" w14:textId="6402E60B" w:rsidR="00164983" w:rsidRDefault="00164983">
          <w:pPr>
            <w:pStyle w:val="TM2"/>
            <w:tabs>
              <w:tab w:val="right" w:leader="dot" w:pos="9317"/>
            </w:tabs>
            <w:rPr>
              <w:rFonts w:eastAsiaTheme="minorEastAsia" w:cstheme="minorBidi"/>
              <w:noProof/>
              <w:sz w:val="22"/>
              <w:szCs w:val="22"/>
            </w:rPr>
          </w:pPr>
          <w:hyperlink w:anchor="_Toc201856536" w:history="1">
            <w:r w:rsidRPr="00FE5470">
              <w:rPr>
                <w:rStyle w:val="Lienhypertexte"/>
                <w:noProof/>
              </w:rPr>
              <w:t>Article I.9 – Résiliation par les parties</w:t>
            </w:r>
            <w:r>
              <w:rPr>
                <w:noProof/>
                <w:webHidden/>
              </w:rPr>
              <w:tab/>
            </w:r>
            <w:r>
              <w:rPr>
                <w:noProof/>
                <w:webHidden/>
              </w:rPr>
              <w:fldChar w:fldCharType="begin"/>
            </w:r>
            <w:r>
              <w:rPr>
                <w:noProof/>
                <w:webHidden/>
              </w:rPr>
              <w:instrText xml:space="preserve"> PAGEREF _Toc201856536 \h </w:instrText>
            </w:r>
            <w:r>
              <w:rPr>
                <w:noProof/>
                <w:webHidden/>
              </w:rPr>
            </w:r>
            <w:r>
              <w:rPr>
                <w:noProof/>
                <w:webHidden/>
              </w:rPr>
              <w:fldChar w:fldCharType="separate"/>
            </w:r>
            <w:r>
              <w:rPr>
                <w:noProof/>
                <w:webHidden/>
              </w:rPr>
              <w:t>15</w:t>
            </w:r>
            <w:r>
              <w:rPr>
                <w:noProof/>
                <w:webHidden/>
              </w:rPr>
              <w:fldChar w:fldCharType="end"/>
            </w:r>
          </w:hyperlink>
        </w:p>
        <w:p w14:paraId="05C99BB7" w14:textId="4E99E583" w:rsidR="00164983" w:rsidRDefault="00164983">
          <w:pPr>
            <w:pStyle w:val="TM2"/>
            <w:tabs>
              <w:tab w:val="right" w:leader="dot" w:pos="9317"/>
            </w:tabs>
            <w:rPr>
              <w:rFonts w:eastAsiaTheme="minorEastAsia" w:cstheme="minorBidi"/>
              <w:noProof/>
              <w:sz w:val="22"/>
              <w:szCs w:val="22"/>
            </w:rPr>
          </w:pPr>
          <w:hyperlink w:anchor="_Toc201856537" w:history="1">
            <w:r w:rsidRPr="00FE5470">
              <w:rPr>
                <w:rStyle w:val="Lienhypertexte"/>
                <w:noProof/>
              </w:rPr>
              <w:t>Article I.10 – Autres conditions particulières</w:t>
            </w:r>
            <w:r>
              <w:rPr>
                <w:noProof/>
                <w:webHidden/>
              </w:rPr>
              <w:tab/>
            </w:r>
            <w:r>
              <w:rPr>
                <w:noProof/>
                <w:webHidden/>
              </w:rPr>
              <w:fldChar w:fldCharType="begin"/>
            </w:r>
            <w:r>
              <w:rPr>
                <w:noProof/>
                <w:webHidden/>
              </w:rPr>
              <w:instrText xml:space="preserve"> PAGEREF _Toc201856537 \h </w:instrText>
            </w:r>
            <w:r>
              <w:rPr>
                <w:noProof/>
                <w:webHidden/>
              </w:rPr>
            </w:r>
            <w:r>
              <w:rPr>
                <w:noProof/>
                <w:webHidden/>
              </w:rPr>
              <w:fldChar w:fldCharType="separate"/>
            </w:r>
            <w:r>
              <w:rPr>
                <w:noProof/>
                <w:webHidden/>
              </w:rPr>
              <w:t>15</w:t>
            </w:r>
            <w:r>
              <w:rPr>
                <w:noProof/>
                <w:webHidden/>
              </w:rPr>
              <w:fldChar w:fldCharType="end"/>
            </w:r>
          </w:hyperlink>
        </w:p>
        <w:p w14:paraId="226760F2" w14:textId="0BBE2F7D" w:rsidR="00164983" w:rsidRDefault="00164983">
          <w:pPr>
            <w:pStyle w:val="TM1"/>
            <w:tabs>
              <w:tab w:val="right" w:leader="dot" w:pos="9317"/>
            </w:tabs>
            <w:rPr>
              <w:rFonts w:eastAsiaTheme="minorEastAsia" w:cstheme="minorBidi"/>
              <w:noProof/>
              <w:sz w:val="22"/>
              <w:szCs w:val="22"/>
            </w:rPr>
          </w:pPr>
          <w:hyperlink w:anchor="_Toc201856538" w:history="1">
            <w:r w:rsidRPr="00FE5470">
              <w:rPr>
                <w:rStyle w:val="Lienhypertexte"/>
                <w:b/>
                <w:bCs/>
                <w:noProof/>
              </w:rPr>
              <w:t>I.10.1 Clause de réexamen</w:t>
            </w:r>
            <w:r>
              <w:rPr>
                <w:noProof/>
                <w:webHidden/>
              </w:rPr>
              <w:tab/>
            </w:r>
            <w:r>
              <w:rPr>
                <w:noProof/>
                <w:webHidden/>
              </w:rPr>
              <w:fldChar w:fldCharType="begin"/>
            </w:r>
            <w:r>
              <w:rPr>
                <w:noProof/>
                <w:webHidden/>
              </w:rPr>
              <w:instrText xml:space="preserve"> PAGEREF _Toc201856538 \h </w:instrText>
            </w:r>
            <w:r>
              <w:rPr>
                <w:noProof/>
                <w:webHidden/>
              </w:rPr>
            </w:r>
            <w:r>
              <w:rPr>
                <w:noProof/>
                <w:webHidden/>
              </w:rPr>
              <w:fldChar w:fldCharType="separate"/>
            </w:r>
            <w:r>
              <w:rPr>
                <w:noProof/>
                <w:webHidden/>
              </w:rPr>
              <w:t>15</w:t>
            </w:r>
            <w:r>
              <w:rPr>
                <w:noProof/>
                <w:webHidden/>
              </w:rPr>
              <w:fldChar w:fldCharType="end"/>
            </w:r>
          </w:hyperlink>
        </w:p>
        <w:p w14:paraId="72FEF6DB" w14:textId="720D7075" w:rsidR="00164983" w:rsidRDefault="00164983">
          <w:pPr>
            <w:pStyle w:val="TM1"/>
            <w:tabs>
              <w:tab w:val="right" w:leader="dot" w:pos="9317"/>
            </w:tabs>
            <w:rPr>
              <w:rFonts w:eastAsiaTheme="minorEastAsia" w:cstheme="minorBidi"/>
              <w:noProof/>
              <w:sz w:val="22"/>
              <w:szCs w:val="22"/>
            </w:rPr>
          </w:pPr>
          <w:hyperlink w:anchor="_Toc201856539" w:history="1">
            <w:r w:rsidRPr="00FE5470">
              <w:rPr>
                <w:rStyle w:val="Lienhypertexte"/>
                <w:b/>
                <w:bCs/>
                <w:noProof/>
              </w:rPr>
              <w:t>I.10.2 Engagement règlementaires</w:t>
            </w:r>
            <w:r>
              <w:rPr>
                <w:noProof/>
                <w:webHidden/>
              </w:rPr>
              <w:tab/>
            </w:r>
            <w:r>
              <w:rPr>
                <w:noProof/>
                <w:webHidden/>
              </w:rPr>
              <w:fldChar w:fldCharType="begin"/>
            </w:r>
            <w:r>
              <w:rPr>
                <w:noProof/>
                <w:webHidden/>
              </w:rPr>
              <w:instrText xml:space="preserve"> PAGEREF _Toc201856539 \h </w:instrText>
            </w:r>
            <w:r>
              <w:rPr>
                <w:noProof/>
                <w:webHidden/>
              </w:rPr>
            </w:r>
            <w:r>
              <w:rPr>
                <w:noProof/>
                <w:webHidden/>
              </w:rPr>
              <w:fldChar w:fldCharType="separate"/>
            </w:r>
            <w:r>
              <w:rPr>
                <w:noProof/>
                <w:webHidden/>
              </w:rPr>
              <w:t>16</w:t>
            </w:r>
            <w:r>
              <w:rPr>
                <w:noProof/>
                <w:webHidden/>
              </w:rPr>
              <w:fldChar w:fldCharType="end"/>
            </w:r>
          </w:hyperlink>
        </w:p>
        <w:p w14:paraId="3A5132AF" w14:textId="7EEA2CEC" w:rsidR="00164983" w:rsidRDefault="00164983">
          <w:pPr>
            <w:pStyle w:val="TM1"/>
            <w:tabs>
              <w:tab w:val="right" w:leader="dot" w:pos="9317"/>
            </w:tabs>
            <w:rPr>
              <w:rFonts w:eastAsiaTheme="minorEastAsia" w:cstheme="minorBidi"/>
              <w:noProof/>
              <w:sz w:val="22"/>
              <w:szCs w:val="22"/>
            </w:rPr>
          </w:pPr>
          <w:hyperlink w:anchor="_Toc201856540" w:history="1">
            <w:r w:rsidRPr="00FE5470">
              <w:rPr>
                <w:rStyle w:val="Lienhypertexte"/>
                <w:b/>
                <w:bCs/>
                <w:noProof/>
              </w:rPr>
              <w:t>I.10.3 Engagement d’exécution sociale</w:t>
            </w:r>
            <w:r>
              <w:rPr>
                <w:noProof/>
                <w:webHidden/>
              </w:rPr>
              <w:tab/>
            </w:r>
            <w:r>
              <w:rPr>
                <w:noProof/>
                <w:webHidden/>
              </w:rPr>
              <w:fldChar w:fldCharType="begin"/>
            </w:r>
            <w:r>
              <w:rPr>
                <w:noProof/>
                <w:webHidden/>
              </w:rPr>
              <w:instrText xml:space="preserve"> PAGEREF _Toc201856540 \h </w:instrText>
            </w:r>
            <w:r>
              <w:rPr>
                <w:noProof/>
                <w:webHidden/>
              </w:rPr>
            </w:r>
            <w:r>
              <w:rPr>
                <w:noProof/>
                <w:webHidden/>
              </w:rPr>
              <w:fldChar w:fldCharType="separate"/>
            </w:r>
            <w:r>
              <w:rPr>
                <w:noProof/>
                <w:webHidden/>
              </w:rPr>
              <w:t>16</w:t>
            </w:r>
            <w:r>
              <w:rPr>
                <w:noProof/>
                <w:webHidden/>
              </w:rPr>
              <w:fldChar w:fldCharType="end"/>
            </w:r>
          </w:hyperlink>
        </w:p>
        <w:p w14:paraId="5812389E" w14:textId="43B56E9B" w:rsidR="00164983" w:rsidRDefault="00164983">
          <w:pPr>
            <w:pStyle w:val="TM1"/>
            <w:tabs>
              <w:tab w:val="right" w:leader="dot" w:pos="9317"/>
            </w:tabs>
            <w:rPr>
              <w:rFonts w:eastAsiaTheme="minorEastAsia" w:cstheme="minorBidi"/>
              <w:noProof/>
              <w:sz w:val="22"/>
              <w:szCs w:val="22"/>
            </w:rPr>
          </w:pPr>
          <w:hyperlink w:anchor="_Toc201856541" w:history="1">
            <w:r w:rsidRPr="00FE5470">
              <w:rPr>
                <w:rStyle w:val="Lienhypertexte"/>
                <w:b/>
                <w:bCs/>
                <w:noProof/>
              </w:rPr>
              <w:t>I.10.4 Engagement d’exécution environnementale</w:t>
            </w:r>
            <w:r>
              <w:rPr>
                <w:noProof/>
                <w:webHidden/>
              </w:rPr>
              <w:tab/>
            </w:r>
            <w:r>
              <w:rPr>
                <w:noProof/>
                <w:webHidden/>
              </w:rPr>
              <w:fldChar w:fldCharType="begin"/>
            </w:r>
            <w:r>
              <w:rPr>
                <w:noProof/>
                <w:webHidden/>
              </w:rPr>
              <w:instrText xml:space="preserve"> PAGEREF _Toc201856541 \h </w:instrText>
            </w:r>
            <w:r>
              <w:rPr>
                <w:noProof/>
                <w:webHidden/>
              </w:rPr>
            </w:r>
            <w:r>
              <w:rPr>
                <w:noProof/>
                <w:webHidden/>
              </w:rPr>
              <w:fldChar w:fldCharType="separate"/>
            </w:r>
            <w:r>
              <w:rPr>
                <w:noProof/>
                <w:webHidden/>
              </w:rPr>
              <w:t>16</w:t>
            </w:r>
            <w:r>
              <w:rPr>
                <w:noProof/>
                <w:webHidden/>
              </w:rPr>
              <w:fldChar w:fldCharType="end"/>
            </w:r>
          </w:hyperlink>
        </w:p>
        <w:p w14:paraId="4E12E575" w14:textId="137201E0" w:rsidR="00164983" w:rsidRDefault="00164983">
          <w:pPr>
            <w:pStyle w:val="TM1"/>
            <w:tabs>
              <w:tab w:val="right" w:leader="dot" w:pos="9317"/>
            </w:tabs>
            <w:rPr>
              <w:rFonts w:eastAsiaTheme="minorEastAsia" w:cstheme="minorBidi"/>
              <w:noProof/>
              <w:sz w:val="22"/>
              <w:szCs w:val="22"/>
            </w:rPr>
          </w:pPr>
          <w:hyperlink w:anchor="_Toc201856542" w:history="1">
            <w:r w:rsidRPr="00FE5470">
              <w:rPr>
                <w:rStyle w:val="Lienhypertexte"/>
                <w:b/>
                <w:bCs/>
                <w:noProof/>
              </w:rPr>
              <w:t>I.10.5 Pénalités</w:t>
            </w:r>
            <w:r>
              <w:rPr>
                <w:noProof/>
                <w:webHidden/>
              </w:rPr>
              <w:tab/>
            </w:r>
            <w:r>
              <w:rPr>
                <w:noProof/>
                <w:webHidden/>
              </w:rPr>
              <w:fldChar w:fldCharType="begin"/>
            </w:r>
            <w:r>
              <w:rPr>
                <w:noProof/>
                <w:webHidden/>
              </w:rPr>
              <w:instrText xml:space="preserve"> PAGEREF _Toc201856542 \h </w:instrText>
            </w:r>
            <w:r>
              <w:rPr>
                <w:noProof/>
                <w:webHidden/>
              </w:rPr>
            </w:r>
            <w:r>
              <w:rPr>
                <w:noProof/>
                <w:webHidden/>
              </w:rPr>
              <w:fldChar w:fldCharType="separate"/>
            </w:r>
            <w:r>
              <w:rPr>
                <w:noProof/>
                <w:webHidden/>
              </w:rPr>
              <w:t>17</w:t>
            </w:r>
            <w:r>
              <w:rPr>
                <w:noProof/>
                <w:webHidden/>
              </w:rPr>
              <w:fldChar w:fldCharType="end"/>
            </w:r>
          </w:hyperlink>
        </w:p>
        <w:p w14:paraId="45F98E19" w14:textId="077BEA9C" w:rsidR="00164983" w:rsidRDefault="00164983">
          <w:pPr>
            <w:pStyle w:val="TM2"/>
            <w:tabs>
              <w:tab w:val="right" w:leader="dot" w:pos="9317"/>
            </w:tabs>
            <w:rPr>
              <w:rFonts w:eastAsiaTheme="minorEastAsia" w:cstheme="minorBidi"/>
              <w:noProof/>
              <w:sz w:val="22"/>
              <w:szCs w:val="22"/>
            </w:rPr>
          </w:pPr>
          <w:hyperlink w:anchor="_Toc201856543" w:history="1">
            <w:r w:rsidRPr="00FE5470">
              <w:rPr>
                <w:rStyle w:val="Lienhypertexte"/>
                <w:noProof/>
              </w:rPr>
              <w:t>Article II.2 – Moyens de communication</w:t>
            </w:r>
            <w:r>
              <w:rPr>
                <w:noProof/>
                <w:webHidden/>
              </w:rPr>
              <w:tab/>
            </w:r>
            <w:r>
              <w:rPr>
                <w:noProof/>
                <w:webHidden/>
              </w:rPr>
              <w:fldChar w:fldCharType="begin"/>
            </w:r>
            <w:r>
              <w:rPr>
                <w:noProof/>
                <w:webHidden/>
              </w:rPr>
              <w:instrText xml:space="preserve"> PAGEREF _Toc201856543 \h </w:instrText>
            </w:r>
            <w:r>
              <w:rPr>
                <w:noProof/>
                <w:webHidden/>
              </w:rPr>
            </w:r>
            <w:r>
              <w:rPr>
                <w:noProof/>
                <w:webHidden/>
              </w:rPr>
              <w:fldChar w:fldCharType="separate"/>
            </w:r>
            <w:r>
              <w:rPr>
                <w:noProof/>
                <w:webHidden/>
              </w:rPr>
              <w:t>21</w:t>
            </w:r>
            <w:r>
              <w:rPr>
                <w:noProof/>
                <w:webHidden/>
              </w:rPr>
              <w:fldChar w:fldCharType="end"/>
            </w:r>
          </w:hyperlink>
        </w:p>
        <w:p w14:paraId="11CD31B2" w14:textId="2B09AD3B" w:rsidR="00164983" w:rsidRDefault="00164983">
          <w:pPr>
            <w:pStyle w:val="TM2"/>
            <w:tabs>
              <w:tab w:val="right" w:leader="dot" w:pos="9317"/>
            </w:tabs>
            <w:rPr>
              <w:rFonts w:eastAsiaTheme="minorEastAsia" w:cstheme="minorBidi"/>
              <w:noProof/>
              <w:sz w:val="22"/>
              <w:szCs w:val="22"/>
            </w:rPr>
          </w:pPr>
          <w:hyperlink w:anchor="_Toc201856544" w:history="1">
            <w:r w:rsidRPr="00FE5470">
              <w:rPr>
                <w:rStyle w:val="Lienhypertexte"/>
                <w:noProof/>
              </w:rPr>
              <w:t>Article II. 3 – Responsabilité</w:t>
            </w:r>
            <w:r>
              <w:rPr>
                <w:noProof/>
                <w:webHidden/>
              </w:rPr>
              <w:tab/>
            </w:r>
            <w:r>
              <w:rPr>
                <w:noProof/>
                <w:webHidden/>
              </w:rPr>
              <w:fldChar w:fldCharType="begin"/>
            </w:r>
            <w:r>
              <w:rPr>
                <w:noProof/>
                <w:webHidden/>
              </w:rPr>
              <w:instrText xml:space="preserve"> PAGEREF _Toc201856544 \h </w:instrText>
            </w:r>
            <w:r>
              <w:rPr>
                <w:noProof/>
                <w:webHidden/>
              </w:rPr>
            </w:r>
            <w:r>
              <w:rPr>
                <w:noProof/>
                <w:webHidden/>
              </w:rPr>
              <w:fldChar w:fldCharType="separate"/>
            </w:r>
            <w:r>
              <w:rPr>
                <w:noProof/>
                <w:webHidden/>
              </w:rPr>
              <w:t>21</w:t>
            </w:r>
            <w:r>
              <w:rPr>
                <w:noProof/>
                <w:webHidden/>
              </w:rPr>
              <w:fldChar w:fldCharType="end"/>
            </w:r>
          </w:hyperlink>
        </w:p>
        <w:p w14:paraId="07F840A0" w14:textId="45971154" w:rsidR="00164983" w:rsidRDefault="00164983">
          <w:pPr>
            <w:pStyle w:val="TM2"/>
            <w:tabs>
              <w:tab w:val="right" w:leader="dot" w:pos="9317"/>
            </w:tabs>
            <w:rPr>
              <w:rFonts w:eastAsiaTheme="minorEastAsia" w:cstheme="minorBidi"/>
              <w:noProof/>
              <w:sz w:val="22"/>
              <w:szCs w:val="22"/>
            </w:rPr>
          </w:pPr>
          <w:hyperlink w:anchor="_Toc201856545" w:history="1">
            <w:r w:rsidRPr="00FE5470">
              <w:rPr>
                <w:rStyle w:val="Lienhypertexte"/>
                <w:noProof/>
              </w:rPr>
              <w:t>Article II.4 - Conflits d'intérêts, Ethique</w:t>
            </w:r>
            <w:r>
              <w:rPr>
                <w:noProof/>
                <w:webHidden/>
              </w:rPr>
              <w:tab/>
            </w:r>
            <w:r>
              <w:rPr>
                <w:noProof/>
                <w:webHidden/>
              </w:rPr>
              <w:fldChar w:fldCharType="begin"/>
            </w:r>
            <w:r>
              <w:rPr>
                <w:noProof/>
                <w:webHidden/>
              </w:rPr>
              <w:instrText xml:space="preserve"> PAGEREF _Toc201856545 \h </w:instrText>
            </w:r>
            <w:r>
              <w:rPr>
                <w:noProof/>
                <w:webHidden/>
              </w:rPr>
            </w:r>
            <w:r>
              <w:rPr>
                <w:noProof/>
                <w:webHidden/>
              </w:rPr>
              <w:fldChar w:fldCharType="separate"/>
            </w:r>
            <w:r>
              <w:rPr>
                <w:noProof/>
                <w:webHidden/>
              </w:rPr>
              <w:t>22</w:t>
            </w:r>
            <w:r>
              <w:rPr>
                <w:noProof/>
                <w:webHidden/>
              </w:rPr>
              <w:fldChar w:fldCharType="end"/>
            </w:r>
          </w:hyperlink>
        </w:p>
        <w:p w14:paraId="59D3EE20" w14:textId="554B0DFC" w:rsidR="00164983" w:rsidRDefault="00164983">
          <w:pPr>
            <w:pStyle w:val="TM2"/>
            <w:tabs>
              <w:tab w:val="right" w:leader="dot" w:pos="9317"/>
            </w:tabs>
            <w:rPr>
              <w:rFonts w:eastAsiaTheme="minorEastAsia" w:cstheme="minorBidi"/>
              <w:noProof/>
              <w:sz w:val="22"/>
              <w:szCs w:val="22"/>
            </w:rPr>
          </w:pPr>
          <w:hyperlink w:anchor="_Toc201856546" w:history="1">
            <w:r w:rsidRPr="00FE5470">
              <w:rPr>
                <w:rStyle w:val="Lienhypertexte"/>
                <w:noProof/>
              </w:rPr>
              <w:t>Article II.5– Confidentialité</w:t>
            </w:r>
            <w:r>
              <w:rPr>
                <w:noProof/>
                <w:webHidden/>
              </w:rPr>
              <w:tab/>
            </w:r>
            <w:r>
              <w:rPr>
                <w:noProof/>
                <w:webHidden/>
              </w:rPr>
              <w:fldChar w:fldCharType="begin"/>
            </w:r>
            <w:r>
              <w:rPr>
                <w:noProof/>
                <w:webHidden/>
              </w:rPr>
              <w:instrText xml:space="preserve"> PAGEREF _Toc201856546 \h </w:instrText>
            </w:r>
            <w:r>
              <w:rPr>
                <w:noProof/>
                <w:webHidden/>
              </w:rPr>
            </w:r>
            <w:r>
              <w:rPr>
                <w:noProof/>
                <w:webHidden/>
              </w:rPr>
              <w:fldChar w:fldCharType="separate"/>
            </w:r>
            <w:r>
              <w:rPr>
                <w:noProof/>
                <w:webHidden/>
              </w:rPr>
              <w:t>23</w:t>
            </w:r>
            <w:r>
              <w:rPr>
                <w:noProof/>
                <w:webHidden/>
              </w:rPr>
              <w:fldChar w:fldCharType="end"/>
            </w:r>
          </w:hyperlink>
        </w:p>
        <w:p w14:paraId="32631DB7" w14:textId="2BA14A1F" w:rsidR="00164983" w:rsidRDefault="00164983">
          <w:pPr>
            <w:pStyle w:val="TM2"/>
            <w:tabs>
              <w:tab w:val="right" w:leader="dot" w:pos="9317"/>
            </w:tabs>
            <w:rPr>
              <w:rFonts w:eastAsiaTheme="minorEastAsia" w:cstheme="minorBidi"/>
              <w:noProof/>
              <w:sz w:val="22"/>
              <w:szCs w:val="22"/>
            </w:rPr>
          </w:pPr>
          <w:hyperlink w:anchor="_Toc201856547" w:history="1">
            <w:r w:rsidRPr="00FE5470">
              <w:rPr>
                <w:rStyle w:val="Lienhypertexte"/>
                <w:noProof/>
              </w:rPr>
              <w:t>Article II.6 – Traitement des données à caractère personnel</w:t>
            </w:r>
            <w:r>
              <w:rPr>
                <w:noProof/>
                <w:webHidden/>
              </w:rPr>
              <w:tab/>
            </w:r>
            <w:r>
              <w:rPr>
                <w:noProof/>
                <w:webHidden/>
              </w:rPr>
              <w:fldChar w:fldCharType="begin"/>
            </w:r>
            <w:r>
              <w:rPr>
                <w:noProof/>
                <w:webHidden/>
              </w:rPr>
              <w:instrText xml:space="preserve"> PAGEREF _Toc201856547 \h </w:instrText>
            </w:r>
            <w:r>
              <w:rPr>
                <w:noProof/>
                <w:webHidden/>
              </w:rPr>
            </w:r>
            <w:r>
              <w:rPr>
                <w:noProof/>
                <w:webHidden/>
              </w:rPr>
              <w:fldChar w:fldCharType="separate"/>
            </w:r>
            <w:r>
              <w:rPr>
                <w:noProof/>
                <w:webHidden/>
              </w:rPr>
              <w:t>24</w:t>
            </w:r>
            <w:r>
              <w:rPr>
                <w:noProof/>
                <w:webHidden/>
              </w:rPr>
              <w:fldChar w:fldCharType="end"/>
            </w:r>
          </w:hyperlink>
        </w:p>
        <w:p w14:paraId="1F77B206" w14:textId="7B8CD0DA" w:rsidR="00164983" w:rsidRDefault="00164983">
          <w:pPr>
            <w:pStyle w:val="TM2"/>
            <w:tabs>
              <w:tab w:val="right" w:leader="dot" w:pos="9317"/>
            </w:tabs>
            <w:rPr>
              <w:rFonts w:eastAsiaTheme="minorEastAsia" w:cstheme="minorBidi"/>
              <w:noProof/>
              <w:sz w:val="22"/>
              <w:szCs w:val="22"/>
            </w:rPr>
          </w:pPr>
          <w:hyperlink w:anchor="_Toc201856548" w:history="1">
            <w:r w:rsidRPr="00FE5470">
              <w:rPr>
                <w:rStyle w:val="Lienhypertexte"/>
                <w:noProof/>
              </w:rPr>
              <w:t>Article II.7– Sous-traitance</w:t>
            </w:r>
            <w:r>
              <w:rPr>
                <w:noProof/>
                <w:webHidden/>
              </w:rPr>
              <w:tab/>
            </w:r>
            <w:r>
              <w:rPr>
                <w:noProof/>
                <w:webHidden/>
              </w:rPr>
              <w:fldChar w:fldCharType="begin"/>
            </w:r>
            <w:r>
              <w:rPr>
                <w:noProof/>
                <w:webHidden/>
              </w:rPr>
              <w:instrText xml:space="preserve"> PAGEREF _Toc201856548 \h </w:instrText>
            </w:r>
            <w:r>
              <w:rPr>
                <w:noProof/>
                <w:webHidden/>
              </w:rPr>
            </w:r>
            <w:r>
              <w:rPr>
                <w:noProof/>
                <w:webHidden/>
              </w:rPr>
              <w:fldChar w:fldCharType="separate"/>
            </w:r>
            <w:r>
              <w:rPr>
                <w:noProof/>
                <w:webHidden/>
              </w:rPr>
              <w:t>26</w:t>
            </w:r>
            <w:r>
              <w:rPr>
                <w:noProof/>
                <w:webHidden/>
              </w:rPr>
              <w:fldChar w:fldCharType="end"/>
            </w:r>
          </w:hyperlink>
        </w:p>
        <w:p w14:paraId="4DF56107" w14:textId="2501137A" w:rsidR="00164983" w:rsidRDefault="00164983">
          <w:pPr>
            <w:pStyle w:val="TM2"/>
            <w:tabs>
              <w:tab w:val="right" w:leader="dot" w:pos="9317"/>
            </w:tabs>
            <w:rPr>
              <w:rFonts w:eastAsiaTheme="minorEastAsia" w:cstheme="minorBidi"/>
              <w:noProof/>
              <w:sz w:val="22"/>
              <w:szCs w:val="22"/>
            </w:rPr>
          </w:pPr>
          <w:hyperlink w:anchor="_Toc201856549" w:history="1">
            <w:r w:rsidRPr="00FE5470">
              <w:rPr>
                <w:rStyle w:val="Lienhypertexte"/>
                <w:noProof/>
              </w:rPr>
              <w:t>Article II.8 –Avenants</w:t>
            </w:r>
            <w:r>
              <w:rPr>
                <w:noProof/>
                <w:webHidden/>
              </w:rPr>
              <w:tab/>
            </w:r>
            <w:r>
              <w:rPr>
                <w:noProof/>
                <w:webHidden/>
              </w:rPr>
              <w:fldChar w:fldCharType="begin"/>
            </w:r>
            <w:r>
              <w:rPr>
                <w:noProof/>
                <w:webHidden/>
              </w:rPr>
              <w:instrText xml:space="preserve"> PAGEREF _Toc201856549 \h </w:instrText>
            </w:r>
            <w:r>
              <w:rPr>
                <w:noProof/>
                <w:webHidden/>
              </w:rPr>
            </w:r>
            <w:r>
              <w:rPr>
                <w:noProof/>
                <w:webHidden/>
              </w:rPr>
              <w:fldChar w:fldCharType="separate"/>
            </w:r>
            <w:r>
              <w:rPr>
                <w:noProof/>
                <w:webHidden/>
              </w:rPr>
              <w:t>26</w:t>
            </w:r>
            <w:r>
              <w:rPr>
                <w:noProof/>
                <w:webHidden/>
              </w:rPr>
              <w:fldChar w:fldCharType="end"/>
            </w:r>
          </w:hyperlink>
        </w:p>
        <w:p w14:paraId="59982302" w14:textId="4147FE65" w:rsidR="00164983" w:rsidRDefault="00164983">
          <w:pPr>
            <w:pStyle w:val="TM2"/>
            <w:tabs>
              <w:tab w:val="right" w:leader="dot" w:pos="9317"/>
            </w:tabs>
            <w:rPr>
              <w:rFonts w:eastAsiaTheme="minorEastAsia" w:cstheme="minorBidi"/>
              <w:noProof/>
              <w:sz w:val="22"/>
              <w:szCs w:val="22"/>
            </w:rPr>
          </w:pPr>
          <w:hyperlink w:anchor="_Toc201856550" w:history="1">
            <w:r w:rsidRPr="00FE5470">
              <w:rPr>
                <w:rStyle w:val="Lienhypertexte"/>
                <w:noProof/>
              </w:rPr>
              <w:t>Article II.9– Cession</w:t>
            </w:r>
            <w:r>
              <w:rPr>
                <w:noProof/>
                <w:webHidden/>
              </w:rPr>
              <w:tab/>
            </w:r>
            <w:r>
              <w:rPr>
                <w:noProof/>
                <w:webHidden/>
              </w:rPr>
              <w:fldChar w:fldCharType="begin"/>
            </w:r>
            <w:r>
              <w:rPr>
                <w:noProof/>
                <w:webHidden/>
              </w:rPr>
              <w:instrText xml:space="preserve"> PAGEREF _Toc201856550 \h </w:instrText>
            </w:r>
            <w:r>
              <w:rPr>
                <w:noProof/>
                <w:webHidden/>
              </w:rPr>
            </w:r>
            <w:r>
              <w:rPr>
                <w:noProof/>
                <w:webHidden/>
              </w:rPr>
              <w:fldChar w:fldCharType="separate"/>
            </w:r>
            <w:r>
              <w:rPr>
                <w:noProof/>
                <w:webHidden/>
              </w:rPr>
              <w:t>26</w:t>
            </w:r>
            <w:r>
              <w:rPr>
                <w:noProof/>
                <w:webHidden/>
              </w:rPr>
              <w:fldChar w:fldCharType="end"/>
            </w:r>
          </w:hyperlink>
        </w:p>
        <w:p w14:paraId="3C83D8EC" w14:textId="6CF1DD00" w:rsidR="00164983" w:rsidRDefault="00164983">
          <w:pPr>
            <w:pStyle w:val="TM2"/>
            <w:tabs>
              <w:tab w:val="right" w:leader="dot" w:pos="9317"/>
            </w:tabs>
            <w:rPr>
              <w:rFonts w:eastAsiaTheme="minorEastAsia" w:cstheme="minorBidi"/>
              <w:noProof/>
              <w:sz w:val="22"/>
              <w:szCs w:val="22"/>
            </w:rPr>
          </w:pPr>
          <w:hyperlink w:anchor="_Toc201856551" w:history="1">
            <w:r w:rsidRPr="00FE5470">
              <w:rPr>
                <w:rStyle w:val="Lienhypertexte"/>
                <w:noProof/>
              </w:rPr>
              <w:t>Article II.10– Propriété des résultats – Droits de propriété intellectuelle et industrielle</w:t>
            </w:r>
            <w:r>
              <w:rPr>
                <w:noProof/>
                <w:webHidden/>
              </w:rPr>
              <w:tab/>
            </w:r>
            <w:r>
              <w:rPr>
                <w:noProof/>
                <w:webHidden/>
              </w:rPr>
              <w:fldChar w:fldCharType="begin"/>
            </w:r>
            <w:r>
              <w:rPr>
                <w:noProof/>
                <w:webHidden/>
              </w:rPr>
              <w:instrText xml:space="preserve"> PAGEREF _Toc201856551 \h </w:instrText>
            </w:r>
            <w:r>
              <w:rPr>
                <w:noProof/>
                <w:webHidden/>
              </w:rPr>
            </w:r>
            <w:r>
              <w:rPr>
                <w:noProof/>
                <w:webHidden/>
              </w:rPr>
              <w:fldChar w:fldCharType="separate"/>
            </w:r>
            <w:r>
              <w:rPr>
                <w:noProof/>
                <w:webHidden/>
              </w:rPr>
              <w:t>27</w:t>
            </w:r>
            <w:r>
              <w:rPr>
                <w:noProof/>
                <w:webHidden/>
              </w:rPr>
              <w:fldChar w:fldCharType="end"/>
            </w:r>
          </w:hyperlink>
        </w:p>
        <w:p w14:paraId="29259D5E" w14:textId="64ABF3B5" w:rsidR="00164983" w:rsidRDefault="00164983">
          <w:pPr>
            <w:pStyle w:val="TM2"/>
            <w:tabs>
              <w:tab w:val="right" w:leader="dot" w:pos="9317"/>
            </w:tabs>
            <w:rPr>
              <w:rFonts w:eastAsiaTheme="minorEastAsia" w:cstheme="minorBidi"/>
              <w:noProof/>
              <w:sz w:val="22"/>
              <w:szCs w:val="22"/>
            </w:rPr>
          </w:pPr>
          <w:hyperlink w:anchor="_Toc201856552" w:history="1">
            <w:r w:rsidRPr="00FE5470">
              <w:rPr>
                <w:rStyle w:val="Lienhypertexte"/>
                <w:noProof/>
              </w:rPr>
              <w:t>Article II.11– Force majeure</w:t>
            </w:r>
            <w:r>
              <w:rPr>
                <w:noProof/>
                <w:webHidden/>
              </w:rPr>
              <w:tab/>
            </w:r>
            <w:r>
              <w:rPr>
                <w:noProof/>
                <w:webHidden/>
              </w:rPr>
              <w:fldChar w:fldCharType="begin"/>
            </w:r>
            <w:r>
              <w:rPr>
                <w:noProof/>
                <w:webHidden/>
              </w:rPr>
              <w:instrText xml:space="preserve"> PAGEREF _Toc201856552 \h </w:instrText>
            </w:r>
            <w:r>
              <w:rPr>
                <w:noProof/>
                <w:webHidden/>
              </w:rPr>
            </w:r>
            <w:r>
              <w:rPr>
                <w:noProof/>
                <w:webHidden/>
              </w:rPr>
              <w:fldChar w:fldCharType="separate"/>
            </w:r>
            <w:r>
              <w:rPr>
                <w:noProof/>
                <w:webHidden/>
              </w:rPr>
              <w:t>32</w:t>
            </w:r>
            <w:r>
              <w:rPr>
                <w:noProof/>
                <w:webHidden/>
              </w:rPr>
              <w:fldChar w:fldCharType="end"/>
            </w:r>
          </w:hyperlink>
        </w:p>
        <w:p w14:paraId="2312EB81" w14:textId="5D5C2315" w:rsidR="00164983" w:rsidRDefault="00164983">
          <w:pPr>
            <w:pStyle w:val="TM2"/>
            <w:tabs>
              <w:tab w:val="right" w:leader="dot" w:pos="9317"/>
            </w:tabs>
            <w:rPr>
              <w:rFonts w:eastAsiaTheme="minorEastAsia" w:cstheme="minorBidi"/>
              <w:noProof/>
              <w:sz w:val="22"/>
              <w:szCs w:val="22"/>
            </w:rPr>
          </w:pPr>
          <w:hyperlink w:anchor="_Toc201856553" w:history="1">
            <w:r w:rsidRPr="00FE5470">
              <w:rPr>
                <w:rStyle w:val="Lienhypertexte"/>
                <w:noProof/>
              </w:rPr>
              <w:t>Article II.12– Pénalités</w:t>
            </w:r>
            <w:r>
              <w:rPr>
                <w:noProof/>
                <w:webHidden/>
              </w:rPr>
              <w:tab/>
            </w:r>
            <w:r>
              <w:rPr>
                <w:noProof/>
                <w:webHidden/>
              </w:rPr>
              <w:fldChar w:fldCharType="begin"/>
            </w:r>
            <w:r>
              <w:rPr>
                <w:noProof/>
                <w:webHidden/>
              </w:rPr>
              <w:instrText xml:space="preserve"> PAGEREF _Toc201856553 \h </w:instrText>
            </w:r>
            <w:r>
              <w:rPr>
                <w:noProof/>
                <w:webHidden/>
              </w:rPr>
            </w:r>
            <w:r>
              <w:rPr>
                <w:noProof/>
                <w:webHidden/>
              </w:rPr>
              <w:fldChar w:fldCharType="separate"/>
            </w:r>
            <w:r>
              <w:rPr>
                <w:noProof/>
                <w:webHidden/>
              </w:rPr>
              <w:t>32</w:t>
            </w:r>
            <w:r>
              <w:rPr>
                <w:noProof/>
                <w:webHidden/>
              </w:rPr>
              <w:fldChar w:fldCharType="end"/>
            </w:r>
          </w:hyperlink>
        </w:p>
        <w:p w14:paraId="27E16ADD" w14:textId="4026D3B7" w:rsidR="00164983" w:rsidRDefault="00164983">
          <w:pPr>
            <w:pStyle w:val="TM2"/>
            <w:tabs>
              <w:tab w:val="right" w:leader="dot" w:pos="9317"/>
            </w:tabs>
            <w:rPr>
              <w:rFonts w:eastAsiaTheme="minorEastAsia" w:cstheme="minorBidi"/>
              <w:noProof/>
              <w:sz w:val="22"/>
              <w:szCs w:val="22"/>
            </w:rPr>
          </w:pPr>
          <w:hyperlink w:anchor="_Toc201856554" w:history="1">
            <w:r w:rsidRPr="00FE5470">
              <w:rPr>
                <w:rStyle w:val="Lienhypertexte"/>
                <w:noProof/>
              </w:rPr>
              <w:t>Article II.13 – Suspension de l'exécution du CC</w:t>
            </w:r>
            <w:r>
              <w:rPr>
                <w:noProof/>
                <w:webHidden/>
              </w:rPr>
              <w:tab/>
            </w:r>
            <w:r>
              <w:rPr>
                <w:noProof/>
                <w:webHidden/>
              </w:rPr>
              <w:fldChar w:fldCharType="begin"/>
            </w:r>
            <w:r>
              <w:rPr>
                <w:noProof/>
                <w:webHidden/>
              </w:rPr>
              <w:instrText xml:space="preserve"> PAGEREF _Toc201856554 \h </w:instrText>
            </w:r>
            <w:r>
              <w:rPr>
                <w:noProof/>
                <w:webHidden/>
              </w:rPr>
            </w:r>
            <w:r>
              <w:rPr>
                <w:noProof/>
                <w:webHidden/>
              </w:rPr>
              <w:fldChar w:fldCharType="separate"/>
            </w:r>
            <w:r>
              <w:rPr>
                <w:noProof/>
                <w:webHidden/>
              </w:rPr>
              <w:t>33</w:t>
            </w:r>
            <w:r>
              <w:rPr>
                <w:noProof/>
                <w:webHidden/>
              </w:rPr>
              <w:fldChar w:fldCharType="end"/>
            </w:r>
          </w:hyperlink>
        </w:p>
        <w:p w14:paraId="0DCD6034" w14:textId="19EA4978" w:rsidR="00164983" w:rsidRDefault="00164983">
          <w:pPr>
            <w:pStyle w:val="TM2"/>
            <w:tabs>
              <w:tab w:val="right" w:leader="dot" w:pos="9317"/>
            </w:tabs>
            <w:rPr>
              <w:rFonts w:eastAsiaTheme="minorEastAsia" w:cstheme="minorBidi"/>
              <w:noProof/>
              <w:sz w:val="22"/>
              <w:szCs w:val="22"/>
            </w:rPr>
          </w:pPr>
          <w:hyperlink w:anchor="_Toc201856555" w:history="1">
            <w:r w:rsidRPr="00FE5470">
              <w:rPr>
                <w:rStyle w:val="Lienhypertexte"/>
                <w:noProof/>
              </w:rPr>
              <w:t>Article II.14– Résiliation du CC</w:t>
            </w:r>
            <w:r>
              <w:rPr>
                <w:noProof/>
                <w:webHidden/>
              </w:rPr>
              <w:tab/>
            </w:r>
            <w:r>
              <w:rPr>
                <w:noProof/>
                <w:webHidden/>
              </w:rPr>
              <w:fldChar w:fldCharType="begin"/>
            </w:r>
            <w:r>
              <w:rPr>
                <w:noProof/>
                <w:webHidden/>
              </w:rPr>
              <w:instrText xml:space="preserve"> PAGEREF _Toc201856555 \h </w:instrText>
            </w:r>
            <w:r>
              <w:rPr>
                <w:noProof/>
                <w:webHidden/>
              </w:rPr>
            </w:r>
            <w:r>
              <w:rPr>
                <w:noProof/>
                <w:webHidden/>
              </w:rPr>
              <w:fldChar w:fldCharType="separate"/>
            </w:r>
            <w:r>
              <w:rPr>
                <w:noProof/>
                <w:webHidden/>
              </w:rPr>
              <w:t>34</w:t>
            </w:r>
            <w:r>
              <w:rPr>
                <w:noProof/>
                <w:webHidden/>
              </w:rPr>
              <w:fldChar w:fldCharType="end"/>
            </w:r>
          </w:hyperlink>
        </w:p>
        <w:p w14:paraId="1AF05C0C" w14:textId="326F8A07" w:rsidR="00164983" w:rsidRDefault="00164983">
          <w:pPr>
            <w:pStyle w:val="TM2"/>
            <w:tabs>
              <w:tab w:val="right" w:leader="dot" w:pos="9317"/>
            </w:tabs>
            <w:rPr>
              <w:rFonts w:eastAsiaTheme="minorEastAsia" w:cstheme="minorBidi"/>
              <w:noProof/>
              <w:sz w:val="22"/>
              <w:szCs w:val="22"/>
            </w:rPr>
          </w:pPr>
          <w:hyperlink w:anchor="_Toc201856556" w:history="1">
            <w:r w:rsidRPr="00FE5470">
              <w:rPr>
                <w:rStyle w:val="Lienhypertexte"/>
                <w:noProof/>
              </w:rPr>
              <w:t>Article II.15 – Rapports et paiements</w:t>
            </w:r>
            <w:r>
              <w:rPr>
                <w:noProof/>
                <w:webHidden/>
              </w:rPr>
              <w:tab/>
            </w:r>
            <w:r>
              <w:rPr>
                <w:noProof/>
                <w:webHidden/>
              </w:rPr>
              <w:fldChar w:fldCharType="begin"/>
            </w:r>
            <w:r>
              <w:rPr>
                <w:noProof/>
                <w:webHidden/>
              </w:rPr>
              <w:instrText xml:space="preserve"> PAGEREF _Toc201856556 \h </w:instrText>
            </w:r>
            <w:r>
              <w:rPr>
                <w:noProof/>
                <w:webHidden/>
              </w:rPr>
            </w:r>
            <w:r>
              <w:rPr>
                <w:noProof/>
                <w:webHidden/>
              </w:rPr>
              <w:fldChar w:fldCharType="separate"/>
            </w:r>
            <w:r>
              <w:rPr>
                <w:noProof/>
                <w:webHidden/>
              </w:rPr>
              <w:t>36</w:t>
            </w:r>
            <w:r>
              <w:rPr>
                <w:noProof/>
                <w:webHidden/>
              </w:rPr>
              <w:fldChar w:fldCharType="end"/>
            </w:r>
          </w:hyperlink>
        </w:p>
        <w:p w14:paraId="1207F1D5" w14:textId="6A08D942" w:rsidR="00164983" w:rsidRDefault="00164983">
          <w:pPr>
            <w:pStyle w:val="TM2"/>
            <w:tabs>
              <w:tab w:val="right" w:leader="dot" w:pos="9317"/>
            </w:tabs>
            <w:rPr>
              <w:rFonts w:eastAsiaTheme="minorEastAsia" w:cstheme="minorBidi"/>
              <w:noProof/>
              <w:sz w:val="22"/>
              <w:szCs w:val="22"/>
            </w:rPr>
          </w:pPr>
          <w:hyperlink w:anchor="_Toc201856557" w:history="1">
            <w:r w:rsidRPr="00FE5470">
              <w:rPr>
                <w:rStyle w:val="Lienhypertexte"/>
                <w:noProof/>
              </w:rPr>
              <w:t>Article II. 16 – Remboursements</w:t>
            </w:r>
            <w:r>
              <w:rPr>
                <w:noProof/>
                <w:webHidden/>
              </w:rPr>
              <w:tab/>
            </w:r>
            <w:r>
              <w:rPr>
                <w:noProof/>
                <w:webHidden/>
              </w:rPr>
              <w:fldChar w:fldCharType="begin"/>
            </w:r>
            <w:r>
              <w:rPr>
                <w:noProof/>
                <w:webHidden/>
              </w:rPr>
              <w:instrText xml:space="preserve"> PAGEREF _Toc201856557 \h </w:instrText>
            </w:r>
            <w:r>
              <w:rPr>
                <w:noProof/>
                <w:webHidden/>
              </w:rPr>
            </w:r>
            <w:r>
              <w:rPr>
                <w:noProof/>
                <w:webHidden/>
              </w:rPr>
              <w:fldChar w:fldCharType="separate"/>
            </w:r>
            <w:r>
              <w:rPr>
                <w:noProof/>
                <w:webHidden/>
              </w:rPr>
              <w:t>39</w:t>
            </w:r>
            <w:r>
              <w:rPr>
                <w:noProof/>
                <w:webHidden/>
              </w:rPr>
              <w:fldChar w:fldCharType="end"/>
            </w:r>
          </w:hyperlink>
        </w:p>
        <w:p w14:paraId="55D53811" w14:textId="4F5EFEB6" w:rsidR="00164983" w:rsidRDefault="00164983">
          <w:pPr>
            <w:pStyle w:val="TM2"/>
            <w:tabs>
              <w:tab w:val="right" w:leader="dot" w:pos="9317"/>
            </w:tabs>
            <w:rPr>
              <w:rFonts w:eastAsiaTheme="minorEastAsia" w:cstheme="minorBidi"/>
              <w:noProof/>
              <w:sz w:val="22"/>
              <w:szCs w:val="22"/>
            </w:rPr>
          </w:pPr>
          <w:hyperlink w:anchor="_Toc201856558" w:history="1">
            <w:r w:rsidRPr="00FE5470">
              <w:rPr>
                <w:rStyle w:val="Lienhypertexte"/>
                <w:noProof/>
              </w:rPr>
              <w:t>Article II.17– Recouvrement</w:t>
            </w:r>
            <w:r>
              <w:rPr>
                <w:noProof/>
                <w:webHidden/>
              </w:rPr>
              <w:tab/>
            </w:r>
            <w:r>
              <w:rPr>
                <w:noProof/>
                <w:webHidden/>
              </w:rPr>
              <w:fldChar w:fldCharType="begin"/>
            </w:r>
            <w:r>
              <w:rPr>
                <w:noProof/>
                <w:webHidden/>
              </w:rPr>
              <w:instrText xml:space="preserve"> PAGEREF _Toc201856558 \h </w:instrText>
            </w:r>
            <w:r>
              <w:rPr>
                <w:noProof/>
                <w:webHidden/>
              </w:rPr>
            </w:r>
            <w:r>
              <w:rPr>
                <w:noProof/>
                <w:webHidden/>
              </w:rPr>
              <w:fldChar w:fldCharType="separate"/>
            </w:r>
            <w:r>
              <w:rPr>
                <w:noProof/>
                <w:webHidden/>
              </w:rPr>
              <w:t>40</w:t>
            </w:r>
            <w:r>
              <w:rPr>
                <w:noProof/>
                <w:webHidden/>
              </w:rPr>
              <w:fldChar w:fldCharType="end"/>
            </w:r>
          </w:hyperlink>
        </w:p>
        <w:p w14:paraId="6FD4CD26" w14:textId="5510CA74" w:rsidR="00164983" w:rsidRDefault="00164983">
          <w:pPr>
            <w:pStyle w:val="TM2"/>
            <w:tabs>
              <w:tab w:val="right" w:leader="dot" w:pos="9317"/>
            </w:tabs>
            <w:rPr>
              <w:rFonts w:eastAsiaTheme="minorEastAsia" w:cstheme="minorBidi"/>
              <w:noProof/>
              <w:sz w:val="22"/>
              <w:szCs w:val="22"/>
            </w:rPr>
          </w:pPr>
          <w:hyperlink w:anchor="_Toc201856559" w:history="1">
            <w:r w:rsidRPr="00FE5470">
              <w:rPr>
                <w:rStyle w:val="Lienhypertexte"/>
                <w:noProof/>
              </w:rPr>
              <w:t>Article II.18 – Contrôles et audits</w:t>
            </w:r>
            <w:r>
              <w:rPr>
                <w:noProof/>
                <w:webHidden/>
              </w:rPr>
              <w:tab/>
            </w:r>
            <w:r>
              <w:rPr>
                <w:noProof/>
                <w:webHidden/>
              </w:rPr>
              <w:fldChar w:fldCharType="begin"/>
            </w:r>
            <w:r>
              <w:rPr>
                <w:noProof/>
                <w:webHidden/>
              </w:rPr>
              <w:instrText xml:space="preserve"> PAGEREF _Toc201856559 \h </w:instrText>
            </w:r>
            <w:r>
              <w:rPr>
                <w:noProof/>
                <w:webHidden/>
              </w:rPr>
            </w:r>
            <w:r>
              <w:rPr>
                <w:noProof/>
                <w:webHidden/>
              </w:rPr>
              <w:fldChar w:fldCharType="separate"/>
            </w:r>
            <w:r>
              <w:rPr>
                <w:noProof/>
                <w:webHidden/>
              </w:rPr>
              <w:t>41</w:t>
            </w:r>
            <w:r>
              <w:rPr>
                <w:noProof/>
                <w:webHidden/>
              </w:rPr>
              <w:fldChar w:fldCharType="end"/>
            </w:r>
          </w:hyperlink>
        </w:p>
        <w:p w14:paraId="51CF1700" w14:textId="70938A42" w:rsidR="00164983" w:rsidRDefault="00164983">
          <w:pPr>
            <w:pStyle w:val="TM2"/>
            <w:tabs>
              <w:tab w:val="right" w:leader="dot" w:pos="9317"/>
            </w:tabs>
            <w:rPr>
              <w:rFonts w:eastAsiaTheme="minorEastAsia" w:cstheme="minorBidi"/>
              <w:noProof/>
              <w:sz w:val="22"/>
              <w:szCs w:val="22"/>
            </w:rPr>
          </w:pPr>
          <w:hyperlink w:anchor="_Toc201856560" w:history="1">
            <w:r w:rsidRPr="00FE5470">
              <w:rPr>
                <w:rStyle w:val="Lienhypertexte"/>
                <w:noProof/>
              </w:rPr>
              <w:t>Article III.1: Objet</w:t>
            </w:r>
            <w:r>
              <w:rPr>
                <w:noProof/>
                <w:webHidden/>
              </w:rPr>
              <w:tab/>
            </w:r>
            <w:r>
              <w:rPr>
                <w:noProof/>
                <w:webHidden/>
              </w:rPr>
              <w:fldChar w:fldCharType="begin"/>
            </w:r>
            <w:r>
              <w:rPr>
                <w:noProof/>
                <w:webHidden/>
              </w:rPr>
              <w:instrText xml:space="preserve"> PAGEREF _Toc201856560 \h </w:instrText>
            </w:r>
            <w:r>
              <w:rPr>
                <w:noProof/>
                <w:webHidden/>
              </w:rPr>
            </w:r>
            <w:r>
              <w:rPr>
                <w:noProof/>
                <w:webHidden/>
              </w:rPr>
              <w:fldChar w:fldCharType="separate"/>
            </w:r>
            <w:r>
              <w:rPr>
                <w:noProof/>
                <w:webHidden/>
              </w:rPr>
              <w:t>45</w:t>
            </w:r>
            <w:r>
              <w:rPr>
                <w:noProof/>
                <w:webHidden/>
              </w:rPr>
              <w:fldChar w:fldCharType="end"/>
            </w:r>
          </w:hyperlink>
        </w:p>
        <w:p w14:paraId="10B23FEE" w14:textId="7BC07032" w:rsidR="00164983" w:rsidRDefault="00164983">
          <w:pPr>
            <w:pStyle w:val="TM2"/>
            <w:tabs>
              <w:tab w:val="right" w:leader="dot" w:pos="9317"/>
            </w:tabs>
            <w:rPr>
              <w:rFonts w:eastAsiaTheme="minorEastAsia" w:cstheme="minorBidi"/>
              <w:noProof/>
              <w:sz w:val="22"/>
              <w:szCs w:val="22"/>
            </w:rPr>
          </w:pPr>
          <w:hyperlink w:anchor="_Toc201856561" w:history="1">
            <w:r w:rsidRPr="00FE5470">
              <w:rPr>
                <w:rStyle w:val="Lienhypertexte"/>
                <w:noProof/>
              </w:rPr>
              <w:t>Article III.2: Entrée en vigueur et durée</w:t>
            </w:r>
            <w:r>
              <w:rPr>
                <w:noProof/>
                <w:webHidden/>
              </w:rPr>
              <w:tab/>
            </w:r>
            <w:r>
              <w:rPr>
                <w:noProof/>
                <w:webHidden/>
              </w:rPr>
              <w:fldChar w:fldCharType="begin"/>
            </w:r>
            <w:r>
              <w:rPr>
                <w:noProof/>
                <w:webHidden/>
              </w:rPr>
              <w:instrText xml:space="preserve"> PAGEREF _Toc201856561 \h </w:instrText>
            </w:r>
            <w:r>
              <w:rPr>
                <w:noProof/>
                <w:webHidden/>
              </w:rPr>
            </w:r>
            <w:r>
              <w:rPr>
                <w:noProof/>
                <w:webHidden/>
              </w:rPr>
              <w:fldChar w:fldCharType="separate"/>
            </w:r>
            <w:r>
              <w:rPr>
                <w:noProof/>
                <w:webHidden/>
              </w:rPr>
              <w:t>45</w:t>
            </w:r>
            <w:r>
              <w:rPr>
                <w:noProof/>
                <w:webHidden/>
              </w:rPr>
              <w:fldChar w:fldCharType="end"/>
            </w:r>
          </w:hyperlink>
        </w:p>
        <w:p w14:paraId="214B5AA4" w14:textId="608AA821" w:rsidR="00164983" w:rsidRDefault="00164983">
          <w:pPr>
            <w:pStyle w:val="TM2"/>
            <w:tabs>
              <w:tab w:val="right" w:leader="dot" w:pos="9317"/>
            </w:tabs>
            <w:rPr>
              <w:rFonts w:eastAsiaTheme="minorEastAsia" w:cstheme="minorBidi"/>
              <w:noProof/>
              <w:sz w:val="22"/>
              <w:szCs w:val="22"/>
            </w:rPr>
          </w:pPr>
          <w:hyperlink w:anchor="_Toc201856562" w:history="1">
            <w:r w:rsidRPr="00FE5470">
              <w:rPr>
                <w:rStyle w:val="Lienhypertexte"/>
                <w:noProof/>
              </w:rPr>
              <w:t>Article III.3: Prix</w:t>
            </w:r>
            <w:r>
              <w:rPr>
                <w:noProof/>
                <w:webHidden/>
              </w:rPr>
              <w:tab/>
            </w:r>
            <w:r>
              <w:rPr>
                <w:noProof/>
                <w:webHidden/>
              </w:rPr>
              <w:fldChar w:fldCharType="begin"/>
            </w:r>
            <w:r>
              <w:rPr>
                <w:noProof/>
                <w:webHidden/>
              </w:rPr>
              <w:instrText xml:space="preserve"> PAGEREF _Toc201856562 \h </w:instrText>
            </w:r>
            <w:r>
              <w:rPr>
                <w:noProof/>
                <w:webHidden/>
              </w:rPr>
            </w:r>
            <w:r>
              <w:rPr>
                <w:noProof/>
                <w:webHidden/>
              </w:rPr>
              <w:fldChar w:fldCharType="separate"/>
            </w:r>
            <w:r>
              <w:rPr>
                <w:noProof/>
                <w:webHidden/>
              </w:rPr>
              <w:t>46</w:t>
            </w:r>
            <w:r>
              <w:rPr>
                <w:noProof/>
                <w:webHidden/>
              </w:rPr>
              <w:fldChar w:fldCharType="end"/>
            </w:r>
          </w:hyperlink>
        </w:p>
        <w:p w14:paraId="62E0FC80" w14:textId="7C5E9878" w:rsidR="00164983" w:rsidRDefault="00164983">
          <w:pPr>
            <w:pStyle w:val="TM2"/>
            <w:tabs>
              <w:tab w:val="right" w:leader="dot" w:pos="9317"/>
            </w:tabs>
            <w:rPr>
              <w:rFonts w:eastAsiaTheme="minorEastAsia" w:cstheme="minorBidi"/>
              <w:noProof/>
              <w:sz w:val="22"/>
              <w:szCs w:val="22"/>
            </w:rPr>
          </w:pPr>
          <w:hyperlink w:anchor="_Toc201856563" w:history="1">
            <w:r w:rsidRPr="00FE5470">
              <w:rPr>
                <w:rStyle w:val="Lienhypertexte"/>
                <w:noProof/>
              </w:rPr>
              <w:t>ARTICLE III.4: Garantie de bonne fin</w:t>
            </w:r>
            <w:r>
              <w:rPr>
                <w:noProof/>
                <w:webHidden/>
              </w:rPr>
              <w:tab/>
            </w:r>
            <w:r>
              <w:rPr>
                <w:noProof/>
                <w:webHidden/>
              </w:rPr>
              <w:fldChar w:fldCharType="begin"/>
            </w:r>
            <w:r>
              <w:rPr>
                <w:noProof/>
                <w:webHidden/>
              </w:rPr>
              <w:instrText xml:space="preserve"> PAGEREF _Toc201856563 \h </w:instrText>
            </w:r>
            <w:r>
              <w:rPr>
                <w:noProof/>
                <w:webHidden/>
              </w:rPr>
            </w:r>
            <w:r>
              <w:rPr>
                <w:noProof/>
                <w:webHidden/>
              </w:rPr>
              <w:fldChar w:fldCharType="separate"/>
            </w:r>
            <w:r>
              <w:rPr>
                <w:noProof/>
                <w:webHidden/>
              </w:rPr>
              <w:t>46</w:t>
            </w:r>
            <w:r>
              <w:rPr>
                <w:noProof/>
                <w:webHidden/>
              </w:rPr>
              <w:fldChar w:fldCharType="end"/>
            </w:r>
          </w:hyperlink>
        </w:p>
        <w:p w14:paraId="6C4399CE" w14:textId="1298B9E6" w:rsidR="00164983" w:rsidRDefault="00164983">
          <w:pPr>
            <w:pStyle w:val="TM2"/>
            <w:tabs>
              <w:tab w:val="right" w:leader="dot" w:pos="9317"/>
            </w:tabs>
            <w:rPr>
              <w:rFonts w:eastAsiaTheme="minorEastAsia" w:cstheme="minorBidi"/>
              <w:noProof/>
              <w:sz w:val="22"/>
              <w:szCs w:val="22"/>
            </w:rPr>
          </w:pPr>
          <w:hyperlink w:anchor="_Toc201856564" w:history="1">
            <w:r w:rsidRPr="00FE5470">
              <w:rPr>
                <w:rStyle w:val="Lienhypertexte"/>
                <w:noProof/>
              </w:rPr>
              <w:t>Article III.5: Exploitation des résultats</w:t>
            </w:r>
            <w:r>
              <w:rPr>
                <w:noProof/>
                <w:webHidden/>
              </w:rPr>
              <w:tab/>
            </w:r>
            <w:r>
              <w:rPr>
                <w:noProof/>
                <w:webHidden/>
              </w:rPr>
              <w:fldChar w:fldCharType="begin"/>
            </w:r>
            <w:r>
              <w:rPr>
                <w:noProof/>
                <w:webHidden/>
              </w:rPr>
              <w:instrText xml:space="preserve"> PAGEREF _Toc201856564 \h </w:instrText>
            </w:r>
            <w:r>
              <w:rPr>
                <w:noProof/>
                <w:webHidden/>
              </w:rPr>
            </w:r>
            <w:r>
              <w:rPr>
                <w:noProof/>
                <w:webHidden/>
              </w:rPr>
              <w:fldChar w:fldCharType="separate"/>
            </w:r>
            <w:r>
              <w:rPr>
                <w:noProof/>
                <w:webHidden/>
              </w:rPr>
              <w:t>46</w:t>
            </w:r>
            <w:r>
              <w:rPr>
                <w:noProof/>
                <w:webHidden/>
              </w:rPr>
              <w:fldChar w:fldCharType="end"/>
            </w:r>
          </w:hyperlink>
        </w:p>
        <w:p w14:paraId="787075D5" w14:textId="44BF0A63" w:rsidR="00164983" w:rsidRDefault="00164983">
          <w:pPr>
            <w:pStyle w:val="TM2"/>
            <w:tabs>
              <w:tab w:val="right" w:leader="dot" w:pos="9317"/>
            </w:tabs>
            <w:rPr>
              <w:rFonts w:eastAsiaTheme="minorEastAsia" w:cstheme="minorBidi"/>
              <w:noProof/>
              <w:sz w:val="22"/>
              <w:szCs w:val="22"/>
            </w:rPr>
          </w:pPr>
          <w:hyperlink w:anchor="_Toc201856565" w:history="1">
            <w:r w:rsidRPr="00FE5470">
              <w:rPr>
                <w:rStyle w:val="Lienhypertexte"/>
                <w:noProof/>
              </w:rPr>
              <w:t>Annexes</w:t>
            </w:r>
            <w:r>
              <w:rPr>
                <w:noProof/>
                <w:webHidden/>
              </w:rPr>
              <w:tab/>
            </w:r>
            <w:r>
              <w:rPr>
                <w:noProof/>
                <w:webHidden/>
              </w:rPr>
              <w:fldChar w:fldCharType="begin"/>
            </w:r>
            <w:r>
              <w:rPr>
                <w:noProof/>
                <w:webHidden/>
              </w:rPr>
              <w:instrText xml:space="preserve"> PAGEREF _Toc201856565 \h </w:instrText>
            </w:r>
            <w:r>
              <w:rPr>
                <w:noProof/>
                <w:webHidden/>
              </w:rPr>
            </w:r>
            <w:r>
              <w:rPr>
                <w:noProof/>
                <w:webHidden/>
              </w:rPr>
              <w:fldChar w:fldCharType="separate"/>
            </w:r>
            <w:r>
              <w:rPr>
                <w:noProof/>
                <w:webHidden/>
              </w:rPr>
              <w:t>46</w:t>
            </w:r>
            <w:r>
              <w:rPr>
                <w:noProof/>
                <w:webHidden/>
              </w:rPr>
              <w:fldChar w:fldCharType="end"/>
            </w:r>
          </w:hyperlink>
        </w:p>
        <w:p w14:paraId="0D657247" w14:textId="39D3C100" w:rsidR="00164983" w:rsidRDefault="00164983">
          <w:pPr>
            <w:pStyle w:val="TM1"/>
            <w:tabs>
              <w:tab w:val="right" w:leader="dot" w:pos="9317"/>
            </w:tabs>
            <w:rPr>
              <w:rFonts w:eastAsiaTheme="minorEastAsia" w:cstheme="minorBidi"/>
              <w:noProof/>
              <w:sz w:val="22"/>
              <w:szCs w:val="22"/>
            </w:rPr>
          </w:pPr>
          <w:hyperlink w:anchor="_Toc201856566" w:history="1">
            <w:r w:rsidRPr="00FE5470">
              <w:rPr>
                <w:rStyle w:val="Lienhypertexte"/>
                <w:bCs/>
                <w:i/>
                <w:noProof/>
              </w:rPr>
              <w:t>Dans l’hypothèse d’</w:t>
            </w:r>
            <w:r w:rsidRPr="00FE5470">
              <w:rPr>
                <w:rStyle w:val="Lienhypertexte"/>
                <w:bCs/>
                <w:i/>
                <w:noProof/>
              </w:rPr>
              <w:t>u</w:t>
            </w:r>
            <w:r w:rsidRPr="00FE5470">
              <w:rPr>
                <w:rStyle w:val="Lienhypertexte"/>
                <w:bCs/>
                <w:i/>
                <w:noProof/>
              </w:rPr>
              <w:t>ne telle décision d’exclusion, nous pouvons joindre à la présente déclaration sur l’honneur les informations complémentaires qui permettraient de considérer que cette décision d’exclusion n’est pas pertinente dans le cadre du marché).</w:t>
            </w:r>
            <w:r>
              <w:rPr>
                <w:noProof/>
                <w:webHidden/>
              </w:rPr>
              <w:tab/>
            </w:r>
            <w:r>
              <w:rPr>
                <w:noProof/>
                <w:webHidden/>
              </w:rPr>
              <w:fldChar w:fldCharType="begin"/>
            </w:r>
            <w:r>
              <w:rPr>
                <w:noProof/>
                <w:webHidden/>
              </w:rPr>
              <w:instrText xml:space="preserve"> PAGEREF _Toc201856566 \h </w:instrText>
            </w:r>
            <w:r>
              <w:rPr>
                <w:noProof/>
                <w:webHidden/>
              </w:rPr>
            </w:r>
            <w:r>
              <w:rPr>
                <w:noProof/>
                <w:webHidden/>
              </w:rPr>
              <w:fldChar w:fldCharType="separate"/>
            </w:r>
            <w:r>
              <w:rPr>
                <w:noProof/>
                <w:webHidden/>
              </w:rPr>
              <w:t>47</w:t>
            </w:r>
            <w:r>
              <w:rPr>
                <w:noProof/>
                <w:webHidden/>
              </w:rPr>
              <w:fldChar w:fldCharType="end"/>
            </w:r>
          </w:hyperlink>
        </w:p>
        <w:p w14:paraId="07DDD80D" w14:textId="21A02323" w:rsidR="00164983" w:rsidRDefault="00164983">
          <w:pPr>
            <w:pStyle w:val="TM1"/>
            <w:tabs>
              <w:tab w:val="right" w:leader="dot" w:pos="9317"/>
            </w:tabs>
            <w:rPr>
              <w:rFonts w:eastAsiaTheme="minorEastAsia" w:cstheme="minorBidi"/>
              <w:noProof/>
              <w:sz w:val="22"/>
              <w:szCs w:val="22"/>
            </w:rPr>
          </w:pPr>
          <w:hyperlink w:anchor="_Toc201856567" w:history="1">
            <w:r w:rsidRPr="00FE5470">
              <w:rPr>
                <w:rStyle w:val="Lienhypertexte"/>
                <w:bCs/>
                <w:noProof/>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r>
              <w:rPr>
                <w:noProof/>
                <w:webHidden/>
              </w:rPr>
              <w:tab/>
            </w:r>
            <w:r>
              <w:rPr>
                <w:noProof/>
                <w:webHidden/>
              </w:rPr>
              <w:fldChar w:fldCharType="begin"/>
            </w:r>
            <w:r>
              <w:rPr>
                <w:noProof/>
                <w:webHidden/>
              </w:rPr>
              <w:instrText xml:space="preserve"> PAGEREF _Toc201856567 \h </w:instrText>
            </w:r>
            <w:r>
              <w:rPr>
                <w:noProof/>
                <w:webHidden/>
              </w:rPr>
            </w:r>
            <w:r>
              <w:rPr>
                <w:noProof/>
                <w:webHidden/>
              </w:rPr>
              <w:fldChar w:fldCharType="separate"/>
            </w:r>
            <w:r>
              <w:rPr>
                <w:noProof/>
                <w:webHidden/>
              </w:rPr>
              <w:t>47</w:t>
            </w:r>
            <w:r>
              <w:rPr>
                <w:noProof/>
                <w:webHidden/>
              </w:rPr>
              <w:fldChar w:fldCharType="end"/>
            </w:r>
          </w:hyperlink>
        </w:p>
        <w:p w14:paraId="64B61E6C" w14:textId="7536BE7D" w:rsidR="00164983" w:rsidRDefault="00164983">
          <w:pPr>
            <w:pStyle w:val="TM1"/>
            <w:tabs>
              <w:tab w:val="right" w:leader="dot" w:pos="9317"/>
            </w:tabs>
            <w:rPr>
              <w:rFonts w:eastAsiaTheme="minorEastAsia" w:cstheme="minorBidi"/>
              <w:noProof/>
              <w:sz w:val="22"/>
              <w:szCs w:val="22"/>
            </w:rPr>
          </w:pPr>
          <w:hyperlink w:anchor="_Toc201856568" w:history="1">
            <w:r w:rsidRPr="00FE5470">
              <w:rPr>
                <w:rStyle w:val="Lienhypertexte"/>
                <w:bCs/>
                <w:noProof/>
              </w:rPr>
              <w:t>Ils s’engagent en outre à communiquer sans délai à Expertise France, tout changement de sa situation au cours de l’exécution du marché, au regard de la présente déclaration.</w:t>
            </w:r>
            <w:r>
              <w:rPr>
                <w:noProof/>
                <w:webHidden/>
              </w:rPr>
              <w:tab/>
            </w:r>
            <w:r>
              <w:rPr>
                <w:noProof/>
                <w:webHidden/>
              </w:rPr>
              <w:fldChar w:fldCharType="begin"/>
            </w:r>
            <w:r>
              <w:rPr>
                <w:noProof/>
                <w:webHidden/>
              </w:rPr>
              <w:instrText xml:space="preserve"> PAGEREF _Toc201856568 \h </w:instrText>
            </w:r>
            <w:r>
              <w:rPr>
                <w:noProof/>
                <w:webHidden/>
              </w:rPr>
            </w:r>
            <w:r>
              <w:rPr>
                <w:noProof/>
                <w:webHidden/>
              </w:rPr>
              <w:fldChar w:fldCharType="separate"/>
            </w:r>
            <w:r>
              <w:rPr>
                <w:noProof/>
                <w:webHidden/>
              </w:rPr>
              <w:t>47</w:t>
            </w:r>
            <w:r>
              <w:rPr>
                <w:noProof/>
                <w:webHidden/>
              </w:rPr>
              <w:fldChar w:fldCharType="end"/>
            </w:r>
          </w:hyperlink>
        </w:p>
        <w:p w14:paraId="307BD8C9" w14:textId="59476AF2" w:rsidR="00E07ACB" w:rsidRDefault="00E07ACB">
          <w:r>
            <w:rPr>
              <w:b/>
              <w:bCs/>
            </w:rPr>
            <w:fldChar w:fldCharType="end"/>
          </w:r>
        </w:p>
      </w:sdtContent>
    </w:sdt>
    <w:p w14:paraId="48A0B44A" w14:textId="77777777" w:rsidR="00E07ACB" w:rsidRDefault="00E07ACB">
      <w:pPr>
        <w:spacing w:before="0" w:beforeAutospacing="0" w:after="0" w:afterAutospacing="0"/>
        <w:rPr>
          <w:sz w:val="22"/>
          <w:szCs w:val="22"/>
        </w:rPr>
      </w:pPr>
      <w:r>
        <w:rPr>
          <w:sz w:val="22"/>
          <w:szCs w:val="22"/>
        </w:rPr>
        <w:lastRenderedPageBreak/>
        <w:br w:type="page"/>
      </w:r>
    </w:p>
    <w:p w14:paraId="02006F80" w14:textId="545E81A7" w:rsidR="00E07ACB" w:rsidRDefault="00E07ACB" w:rsidP="00E43882">
      <w:pPr>
        <w:tabs>
          <w:tab w:val="right" w:pos="9327"/>
        </w:tabs>
        <w:spacing w:before="0" w:beforeAutospacing="0" w:after="0" w:afterAutospacing="0"/>
        <w:jc w:val="both"/>
        <w:rPr>
          <w:sz w:val="22"/>
          <w:szCs w:val="22"/>
        </w:rPr>
      </w:pPr>
      <w:r>
        <w:rPr>
          <w:sz w:val="22"/>
          <w:szCs w:val="22"/>
        </w:rPr>
        <w:lastRenderedPageBreak/>
        <w:t>Il est conclu entre</w:t>
      </w:r>
    </w:p>
    <w:p w14:paraId="7490F19D" w14:textId="77777777" w:rsidR="005A6E25" w:rsidRPr="005579DD" w:rsidRDefault="005A6E25" w:rsidP="00A72594">
      <w:pPr>
        <w:spacing w:after="0" w:afterAutospacing="0"/>
        <w:rPr>
          <w:sz w:val="24"/>
        </w:rPr>
      </w:pPr>
      <w:r w:rsidRPr="005A6E25">
        <w:rPr>
          <w:b/>
          <w:smallCaps/>
          <w:sz w:val="24"/>
        </w:rPr>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77921D3A" w14:textId="77777777" w:rsidR="00706AD0" w:rsidRDefault="00706AD0" w:rsidP="005A6E25">
      <w:pPr>
        <w:spacing w:before="0" w:beforeAutospacing="0" w:after="0" w:afterAutospacing="0"/>
        <w:jc w:val="both"/>
        <w:rPr>
          <w:sz w:val="24"/>
        </w:rPr>
      </w:pPr>
      <w:r w:rsidRPr="000B56AA">
        <w:rPr>
          <w:sz w:val="24"/>
        </w:rPr>
        <w:t xml:space="preserve">Adresse: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3B782A63"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0BFEFC99" w14:textId="77777777" w:rsidR="005A6E25" w:rsidRPr="002B4FDF" w:rsidRDefault="000B56AA" w:rsidP="00B900C6">
      <w:pPr>
        <w:pStyle w:val="Paragraphedeliste"/>
        <w:numPr>
          <w:ilvl w:val="0"/>
          <w:numId w:val="13"/>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502D2AE2" w14:textId="77777777" w:rsidR="005A6E25" w:rsidRPr="002B4FDF" w:rsidRDefault="000B56AA" w:rsidP="00B900C6">
      <w:pPr>
        <w:pStyle w:val="Paragraphedeliste"/>
        <w:numPr>
          <w:ilvl w:val="0"/>
          <w:numId w:val="13"/>
        </w:numPr>
        <w:spacing w:before="0" w:beforeAutospacing="0" w:after="0" w:afterAutospacing="0"/>
        <w:jc w:val="both"/>
        <w:rPr>
          <w:sz w:val="24"/>
        </w:rPr>
      </w:pPr>
      <w:r w:rsidRPr="002B4FDF">
        <w:rPr>
          <w:sz w:val="24"/>
        </w:rPr>
        <w:t>TVA intracommunautaire</w:t>
      </w:r>
      <w:r w:rsidR="005A6E25" w:rsidRPr="002B4FDF">
        <w:rPr>
          <w:sz w:val="24"/>
        </w:rPr>
        <w:t>: FR36 808734792</w:t>
      </w:r>
    </w:p>
    <w:p w14:paraId="6FD30DDE" w14:textId="77777777" w:rsidR="006226CE" w:rsidRPr="004F2FFE" w:rsidRDefault="006226CE" w:rsidP="005A6E25">
      <w:pPr>
        <w:spacing w:before="0" w:beforeAutospacing="0" w:after="0" w:afterAutospacing="0"/>
        <w:jc w:val="both"/>
        <w:rPr>
          <w:sz w:val="24"/>
        </w:rPr>
      </w:pPr>
    </w:p>
    <w:p w14:paraId="0EC801D3" w14:textId="77777777" w:rsidR="008F4CDB" w:rsidRDefault="00736FBD" w:rsidP="005A6E25">
      <w:pPr>
        <w:spacing w:before="0" w:beforeAutospacing="0" w:after="0" w:afterAutospacing="0"/>
        <w:jc w:val="both"/>
        <w:rPr>
          <w:sz w:val="24"/>
        </w:rPr>
      </w:pPr>
      <w:r>
        <w:rPr>
          <w:sz w:val="24"/>
        </w:rPr>
        <w:t>r</w:t>
      </w:r>
      <w:r w:rsidR="006226CE" w:rsidRPr="006226CE">
        <w:rPr>
          <w:sz w:val="24"/>
        </w:rPr>
        <w:t>eprésentée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29FABF04" w14:textId="77777777"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2049DA3C" w14:textId="77777777" w:rsidTr="00E16294">
        <w:tc>
          <w:tcPr>
            <w:tcW w:w="3290" w:type="dxa"/>
          </w:tcPr>
          <w:p w14:paraId="137EBB3F" w14:textId="77777777"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7FE21B9A" w14:textId="77777777" w:rsidR="005A6E25" w:rsidRPr="00B42F7B" w:rsidRDefault="005A6E25" w:rsidP="00D366D1">
            <w:pPr>
              <w:jc w:val="both"/>
              <w:rPr>
                <w:sz w:val="24"/>
              </w:rPr>
            </w:pPr>
          </w:p>
        </w:tc>
      </w:tr>
      <w:tr w:rsidR="005A6E25" w:rsidRPr="00361126" w14:paraId="3129BAB9" w14:textId="77777777" w:rsidTr="00D366D1">
        <w:tc>
          <w:tcPr>
            <w:tcW w:w="9356" w:type="dxa"/>
            <w:gridSpan w:val="2"/>
          </w:tcPr>
          <w:p w14:paraId="4C45E9DE" w14:textId="77777777"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6DE0D51" w14:textId="77777777" w:rsidTr="00E16294">
        <w:tc>
          <w:tcPr>
            <w:tcW w:w="3290" w:type="dxa"/>
          </w:tcPr>
          <w:p w14:paraId="28ED1337" w14:textId="77777777" w:rsidR="005A6E25" w:rsidRPr="00B42F7B" w:rsidRDefault="00016373" w:rsidP="00E16294">
            <w:pPr>
              <w:rPr>
                <w:b/>
                <w:sz w:val="24"/>
                <w:highlight w:val="yellow"/>
              </w:rPr>
            </w:pPr>
            <w:r>
              <w:rPr>
                <w:b/>
                <w:sz w:val="24"/>
                <w:highlight w:val="yellow"/>
              </w:rPr>
              <w:t>Forme juridique official</w:t>
            </w:r>
          </w:p>
        </w:tc>
        <w:tc>
          <w:tcPr>
            <w:tcW w:w="6066" w:type="dxa"/>
          </w:tcPr>
          <w:p w14:paraId="2A06EDD0" w14:textId="77777777" w:rsidR="005A6E25" w:rsidRPr="00B42F7B" w:rsidRDefault="005A6E25" w:rsidP="00D366D1">
            <w:pPr>
              <w:jc w:val="both"/>
              <w:rPr>
                <w:sz w:val="24"/>
                <w:highlight w:val="green"/>
              </w:rPr>
            </w:pPr>
          </w:p>
        </w:tc>
      </w:tr>
      <w:tr w:rsidR="005A6E25" w:rsidRPr="00B42F7B" w14:paraId="5331DD75" w14:textId="77777777" w:rsidTr="00E16294">
        <w:trPr>
          <w:trHeight w:val="659"/>
        </w:trPr>
        <w:tc>
          <w:tcPr>
            <w:tcW w:w="3290" w:type="dxa"/>
          </w:tcPr>
          <w:p w14:paraId="6FB1C493" w14:textId="77777777"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11CF27AD" w14:textId="77777777" w:rsidR="005A6E25" w:rsidRPr="00B42F7B" w:rsidRDefault="005A6E25" w:rsidP="00D366D1">
            <w:pPr>
              <w:jc w:val="both"/>
              <w:rPr>
                <w:sz w:val="24"/>
                <w:highlight w:val="green"/>
              </w:rPr>
            </w:pPr>
          </w:p>
        </w:tc>
      </w:tr>
      <w:tr w:rsidR="005A6E25" w:rsidRPr="00B42F7B" w14:paraId="748BDD4A" w14:textId="77777777" w:rsidTr="00E16294">
        <w:tc>
          <w:tcPr>
            <w:tcW w:w="3290" w:type="dxa"/>
          </w:tcPr>
          <w:p w14:paraId="3B09A187" w14:textId="77777777" w:rsidR="005A6E25" w:rsidRPr="00B42F7B" w:rsidRDefault="00016373" w:rsidP="00E16294">
            <w:pPr>
              <w:rPr>
                <w:b/>
                <w:sz w:val="24"/>
                <w:highlight w:val="yellow"/>
              </w:rPr>
            </w:pPr>
            <w:r>
              <w:rPr>
                <w:b/>
                <w:sz w:val="24"/>
                <w:highlight w:val="yellow"/>
              </w:rPr>
              <w:t>Numéro d’enregistrement legal</w:t>
            </w:r>
          </w:p>
        </w:tc>
        <w:tc>
          <w:tcPr>
            <w:tcW w:w="6066" w:type="dxa"/>
          </w:tcPr>
          <w:p w14:paraId="7B869194" w14:textId="77777777" w:rsidR="005A6E25" w:rsidRPr="00B42F7B" w:rsidRDefault="005A6E25" w:rsidP="00D366D1">
            <w:pPr>
              <w:jc w:val="both"/>
              <w:rPr>
                <w:sz w:val="24"/>
                <w:highlight w:val="green"/>
              </w:rPr>
            </w:pPr>
          </w:p>
        </w:tc>
      </w:tr>
      <w:tr w:rsidR="005A6E25" w:rsidRPr="00361126" w14:paraId="3D2FAC62" w14:textId="77777777" w:rsidTr="00E16294">
        <w:tc>
          <w:tcPr>
            <w:tcW w:w="3290" w:type="dxa"/>
          </w:tcPr>
          <w:p w14:paraId="34B549E8" w14:textId="77777777"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29E12405" w14:textId="77777777" w:rsidR="005A6E25" w:rsidRPr="00016373" w:rsidRDefault="005A6E25" w:rsidP="00D366D1">
            <w:pPr>
              <w:jc w:val="both"/>
              <w:rPr>
                <w:sz w:val="24"/>
                <w:highlight w:val="green"/>
              </w:rPr>
            </w:pPr>
          </w:p>
        </w:tc>
      </w:tr>
    </w:tbl>
    <w:p w14:paraId="68F4F9E6" w14:textId="77777777" w:rsidR="005A6E25" w:rsidRPr="00016373" w:rsidRDefault="00016373" w:rsidP="005A6E25">
      <w:pPr>
        <w:jc w:val="both"/>
        <w:rPr>
          <w:sz w:val="24"/>
        </w:rPr>
      </w:pPr>
      <w:r w:rsidRPr="00016373">
        <w:rPr>
          <w:sz w:val="24"/>
        </w:rPr>
        <w:t>représenté(e)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12D8C70" w14:textId="77777777" w:rsidTr="00D366D1">
        <w:tc>
          <w:tcPr>
            <w:tcW w:w="9356" w:type="dxa"/>
            <w:gridSpan w:val="2"/>
          </w:tcPr>
          <w:p w14:paraId="1923E5A4" w14:textId="77777777"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4E7ABB07" w14:textId="77777777" w:rsidTr="00D366D1">
        <w:tc>
          <w:tcPr>
            <w:tcW w:w="2410" w:type="dxa"/>
          </w:tcPr>
          <w:p w14:paraId="1B715F95" w14:textId="77777777"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676CA820" w14:textId="77777777"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18214BA1" w14:textId="77777777" w:rsidTr="00D366D1">
        <w:tc>
          <w:tcPr>
            <w:tcW w:w="2410" w:type="dxa"/>
          </w:tcPr>
          <w:p w14:paraId="5565C87E" w14:textId="77777777" w:rsidR="005A6E25" w:rsidRPr="00B42F7B" w:rsidRDefault="00BB3D0B" w:rsidP="00BB3D0B">
            <w:pPr>
              <w:jc w:val="both"/>
              <w:rPr>
                <w:b/>
                <w:sz w:val="24"/>
                <w:highlight w:val="yellow"/>
              </w:rPr>
            </w:pPr>
            <w:r>
              <w:rPr>
                <w:b/>
                <w:sz w:val="24"/>
                <w:highlight w:val="yellow"/>
              </w:rPr>
              <w:t>Fonction</w:t>
            </w:r>
          </w:p>
        </w:tc>
        <w:tc>
          <w:tcPr>
            <w:tcW w:w="6946" w:type="dxa"/>
          </w:tcPr>
          <w:p w14:paraId="3CC97885" w14:textId="77777777" w:rsidR="005A6E25" w:rsidRPr="00B42F7B" w:rsidRDefault="005A6E25" w:rsidP="00D366D1">
            <w:pPr>
              <w:jc w:val="both"/>
              <w:rPr>
                <w:sz w:val="24"/>
              </w:rPr>
            </w:pPr>
          </w:p>
        </w:tc>
      </w:tr>
      <w:tr w:rsidR="005A6E25" w:rsidRPr="00BB3D0B" w14:paraId="7B3D84D2" w14:textId="77777777" w:rsidTr="00D366D1">
        <w:tc>
          <w:tcPr>
            <w:tcW w:w="2410" w:type="dxa"/>
          </w:tcPr>
          <w:p w14:paraId="505F13A3" w14:textId="77777777"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6A813E3C" w14:textId="77777777"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021D6441" w14:textId="77777777" w:rsidR="00ED47AF" w:rsidRDefault="00ED47AF">
      <w:pPr>
        <w:spacing w:before="0" w:beforeAutospacing="0" w:after="0" w:afterAutospacing="0"/>
        <w:rPr>
          <w:sz w:val="24"/>
        </w:rPr>
      </w:pPr>
      <w:r>
        <w:rPr>
          <w:sz w:val="24"/>
        </w:rPr>
        <w:br w:type="page"/>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3DCB21B4" w14:textId="77777777" w:rsidTr="008877F9">
        <w:tc>
          <w:tcPr>
            <w:tcW w:w="9356" w:type="dxa"/>
            <w:gridSpan w:val="2"/>
          </w:tcPr>
          <w:p w14:paraId="3C9BBDBF" w14:textId="77777777" w:rsidR="008877F9" w:rsidRPr="00DA2BFB" w:rsidRDefault="00DA2BFB" w:rsidP="00DA2BFB">
            <w:pPr>
              <w:jc w:val="both"/>
              <w:rPr>
                <w:sz w:val="24"/>
              </w:rPr>
            </w:pPr>
            <w:r w:rsidRPr="00DA2BFB">
              <w:rPr>
                <w:b/>
                <w:sz w:val="24"/>
              </w:rPr>
              <w:lastRenderedPageBreak/>
              <w:t>Composition du groupement</w:t>
            </w:r>
            <w:r w:rsidR="008877F9" w:rsidRPr="00B42F7B">
              <w:rPr>
                <w:b/>
                <w:sz w:val="24"/>
                <w:vertAlign w:val="superscript"/>
              </w:rPr>
              <w:footnoteReference w:id="3"/>
            </w:r>
          </w:p>
        </w:tc>
      </w:tr>
      <w:tr w:rsidR="008877F9" w:rsidRPr="00B42F7B" w14:paraId="530B01BF" w14:textId="77777777" w:rsidTr="00D54A9D">
        <w:tc>
          <w:tcPr>
            <w:tcW w:w="2439" w:type="dxa"/>
            <w:tcBorders>
              <w:top w:val="single" w:sz="4" w:space="0" w:color="auto"/>
              <w:left w:val="single" w:sz="4" w:space="0" w:color="auto"/>
              <w:bottom w:val="single" w:sz="4" w:space="0" w:color="auto"/>
              <w:right w:val="single" w:sz="4" w:space="0" w:color="auto"/>
            </w:tcBorders>
          </w:tcPr>
          <w:p w14:paraId="34D8D4A7" w14:textId="77777777"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7D62D179" w14:textId="77777777" w:rsidR="008877F9" w:rsidRPr="008877F9" w:rsidRDefault="008877F9" w:rsidP="00D54A9D">
            <w:pPr>
              <w:rPr>
                <w:sz w:val="24"/>
              </w:rPr>
            </w:pPr>
          </w:p>
        </w:tc>
      </w:tr>
      <w:tr w:rsidR="008877F9" w:rsidRPr="00B42F7B" w14:paraId="35AB7B1B" w14:textId="77777777" w:rsidTr="00D54A9D">
        <w:tc>
          <w:tcPr>
            <w:tcW w:w="2439" w:type="dxa"/>
          </w:tcPr>
          <w:p w14:paraId="684EE0B7"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350FAEA3" w14:textId="77777777" w:rsidR="008877F9" w:rsidRPr="00B42F7B" w:rsidRDefault="008877F9" w:rsidP="00D54A9D">
            <w:pPr>
              <w:rPr>
                <w:sz w:val="24"/>
                <w:highlight w:val="green"/>
              </w:rPr>
            </w:pPr>
          </w:p>
        </w:tc>
      </w:tr>
      <w:tr w:rsidR="008877F9" w:rsidRPr="00B42F7B" w14:paraId="4103779A" w14:textId="77777777" w:rsidTr="00D54A9D">
        <w:trPr>
          <w:trHeight w:val="659"/>
        </w:trPr>
        <w:tc>
          <w:tcPr>
            <w:tcW w:w="2439" w:type="dxa"/>
          </w:tcPr>
          <w:p w14:paraId="0E9E9720"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751851B5" w14:textId="77777777" w:rsidR="008877F9" w:rsidRPr="00B42F7B" w:rsidRDefault="008877F9" w:rsidP="00D54A9D">
            <w:pPr>
              <w:rPr>
                <w:sz w:val="24"/>
                <w:highlight w:val="green"/>
              </w:rPr>
            </w:pPr>
          </w:p>
        </w:tc>
      </w:tr>
      <w:tr w:rsidR="008877F9" w:rsidRPr="00B42F7B" w14:paraId="3BE4EE61" w14:textId="77777777" w:rsidTr="00D54A9D">
        <w:tc>
          <w:tcPr>
            <w:tcW w:w="2439" w:type="dxa"/>
          </w:tcPr>
          <w:p w14:paraId="3D1029AF" w14:textId="77777777" w:rsidR="008877F9" w:rsidRPr="00B42F7B" w:rsidRDefault="008877F9" w:rsidP="00D54A9D">
            <w:pPr>
              <w:rPr>
                <w:b/>
                <w:sz w:val="24"/>
                <w:highlight w:val="yellow"/>
              </w:rPr>
            </w:pPr>
            <w:r>
              <w:rPr>
                <w:b/>
                <w:sz w:val="24"/>
                <w:highlight w:val="yellow"/>
              </w:rPr>
              <w:t>Numéro d’enregistrement legal</w:t>
            </w:r>
          </w:p>
        </w:tc>
        <w:tc>
          <w:tcPr>
            <w:tcW w:w="6917" w:type="dxa"/>
          </w:tcPr>
          <w:p w14:paraId="301BF724" w14:textId="77777777" w:rsidR="008877F9" w:rsidRPr="00B42F7B" w:rsidRDefault="008877F9" w:rsidP="00D54A9D">
            <w:pPr>
              <w:rPr>
                <w:sz w:val="24"/>
                <w:highlight w:val="green"/>
              </w:rPr>
            </w:pPr>
          </w:p>
        </w:tc>
      </w:tr>
      <w:tr w:rsidR="008877F9" w:rsidRPr="006D690F" w14:paraId="69AE75F6" w14:textId="77777777" w:rsidTr="00D54A9D">
        <w:tc>
          <w:tcPr>
            <w:tcW w:w="2439" w:type="dxa"/>
          </w:tcPr>
          <w:p w14:paraId="5899D1F5" w14:textId="77777777" w:rsidR="008877F9" w:rsidRPr="00016373" w:rsidRDefault="008877F9" w:rsidP="00E63F0A">
            <w:pPr>
              <w:rPr>
                <w:b/>
                <w:sz w:val="24"/>
                <w:highlight w:val="yellow"/>
              </w:rPr>
            </w:pPr>
            <w:r w:rsidRPr="00016373">
              <w:rPr>
                <w:b/>
                <w:sz w:val="24"/>
                <w:highlight w:val="yellow"/>
              </w:rPr>
              <w:t>Numéro d</w:t>
            </w:r>
            <w:r w:rsidR="00E63F0A">
              <w:rPr>
                <w:b/>
                <w:sz w:val="24"/>
                <w:highlight w:val="yellow"/>
              </w:rPr>
              <w:t>’immatriculation</w:t>
            </w:r>
            <w:r w:rsidRPr="00016373">
              <w:rPr>
                <w:b/>
                <w:sz w:val="24"/>
                <w:highlight w:val="yellow"/>
              </w:rPr>
              <w:t>de la TVA</w:t>
            </w:r>
          </w:p>
        </w:tc>
        <w:tc>
          <w:tcPr>
            <w:tcW w:w="6917" w:type="dxa"/>
          </w:tcPr>
          <w:p w14:paraId="2018923A" w14:textId="77777777" w:rsidR="008877F9" w:rsidRPr="00016373" w:rsidRDefault="008877F9" w:rsidP="00D54A9D">
            <w:pPr>
              <w:rPr>
                <w:sz w:val="24"/>
                <w:highlight w:val="green"/>
              </w:rPr>
            </w:pPr>
          </w:p>
        </w:tc>
      </w:tr>
      <w:tr w:rsidR="008877F9" w:rsidRPr="00D54A9D" w14:paraId="5DEA2C99" w14:textId="77777777" w:rsidTr="00D54A9D">
        <w:tc>
          <w:tcPr>
            <w:tcW w:w="2439" w:type="dxa"/>
            <w:tcBorders>
              <w:top w:val="single" w:sz="4" w:space="0" w:color="auto"/>
              <w:left w:val="single" w:sz="4" w:space="0" w:color="auto"/>
              <w:bottom w:val="single" w:sz="4" w:space="0" w:color="auto"/>
              <w:right w:val="single" w:sz="4" w:space="0" w:color="auto"/>
            </w:tcBorders>
          </w:tcPr>
          <w:p w14:paraId="64F055BA" w14:textId="77777777"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7315A7F8" w14:textId="77777777"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20D9C869" w14:textId="7777777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7BBDDC38" w14:textId="77777777" w:rsidR="00D54A9D" w:rsidRPr="002B4FDF" w:rsidRDefault="00D54A9D" w:rsidP="002B4FDF">
      <w:pPr>
        <w:jc w:val="both"/>
        <w:rPr>
          <w:b/>
          <w:sz w:val="24"/>
        </w:rPr>
      </w:pPr>
      <w:r w:rsidRPr="002B4FDF">
        <w:rPr>
          <w:b/>
          <w:sz w:val="24"/>
        </w:rPr>
        <w:t>D’autre part.</w:t>
      </w:r>
    </w:p>
    <w:p w14:paraId="3DB64D1A" w14:textId="395F346C"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 xml:space="preserve">le </w:t>
      </w:r>
      <w:r w:rsidRPr="00837DF1">
        <w:rPr>
          <w:sz w:val="24"/>
        </w:rPr>
        <w:t>«</w:t>
      </w:r>
      <w:r w:rsidR="00BC37E6" w:rsidRPr="00FC30AF">
        <w:rPr>
          <w:sz w:val="24"/>
        </w:rPr>
        <w:t>C</w:t>
      </w:r>
      <w:r w:rsidRPr="00FC30AF">
        <w:rPr>
          <w:sz w:val="24"/>
        </w:rPr>
        <w:t>ontractant</w:t>
      </w:r>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00363E0D">
        <w:rPr>
          <w:sz w:val="24"/>
        </w:rPr>
        <w:t>.</w:t>
      </w:r>
    </w:p>
    <w:p w14:paraId="146AF159" w14:textId="77777777" w:rsidR="00E07ACB" w:rsidRDefault="00E07ACB" w:rsidP="0064132A">
      <w:pPr>
        <w:tabs>
          <w:tab w:val="left" w:pos="510"/>
          <w:tab w:val="left" w:pos="10977"/>
        </w:tabs>
        <w:jc w:val="both"/>
        <w:rPr>
          <w:sz w:val="24"/>
        </w:rPr>
      </w:pPr>
    </w:p>
    <w:p w14:paraId="15B8A28F" w14:textId="77777777" w:rsidR="00510A60" w:rsidRDefault="00510A60">
      <w:pPr>
        <w:spacing w:before="0" w:beforeAutospacing="0" w:after="0" w:afterAutospacing="0"/>
      </w:pPr>
      <w:r>
        <w:br w:type="page"/>
      </w:r>
    </w:p>
    <w:p w14:paraId="6740FFB2" w14:textId="77777777" w:rsidR="006C15A1" w:rsidRPr="00A861C5" w:rsidRDefault="006C15A1" w:rsidP="006C15A1">
      <w:pPr>
        <w:tabs>
          <w:tab w:val="left" w:pos="10977"/>
        </w:tabs>
        <w:jc w:val="center"/>
        <w:rPr>
          <w:b/>
          <w:sz w:val="24"/>
        </w:rPr>
      </w:pPr>
      <w:r w:rsidRPr="00A861C5">
        <w:rPr>
          <w:b/>
          <w:sz w:val="24"/>
        </w:rPr>
        <w:lastRenderedPageBreak/>
        <w:t>SONT CONVENU(E)S</w:t>
      </w:r>
    </w:p>
    <w:p w14:paraId="439E2EE6" w14:textId="77777777" w:rsidR="00A861C5" w:rsidRPr="00A861C5" w:rsidRDefault="00A861C5" w:rsidP="00A861C5">
      <w:pPr>
        <w:rPr>
          <w:sz w:val="24"/>
        </w:rPr>
      </w:pPr>
      <w:r w:rsidRPr="00A861C5">
        <w:rPr>
          <w:sz w:val="24"/>
        </w:rPr>
        <w:t xml:space="preserve">des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p>
    <w:p w14:paraId="267A023A" w14:textId="3C67A7A2" w:rsidR="00A861C5" w:rsidRDefault="00A861C5" w:rsidP="00C3009A">
      <w:pPr>
        <w:spacing w:before="0" w:beforeAutospacing="0" w:after="0" w:afterAutospacing="0"/>
        <w:ind w:left="1560" w:hanging="1560"/>
        <w:jc w:val="both"/>
        <w:rPr>
          <w:sz w:val="24"/>
        </w:rPr>
      </w:pPr>
      <w:r w:rsidRPr="00A861C5">
        <w:rPr>
          <w:b/>
          <w:sz w:val="24"/>
        </w:rPr>
        <w:t>Annexe I –</w:t>
      </w:r>
      <w:r w:rsidRPr="00A861C5">
        <w:rPr>
          <w:b/>
          <w:sz w:val="24"/>
        </w:rPr>
        <w:tab/>
      </w:r>
      <w:r w:rsidRPr="00A861C5">
        <w:rPr>
          <w:sz w:val="24"/>
        </w:rPr>
        <w:t xml:space="preserve">Cahier des charges </w:t>
      </w:r>
      <w:r w:rsidR="00130E40">
        <w:rPr>
          <w:sz w:val="24"/>
        </w:rPr>
        <w:t>et ses annexes</w:t>
      </w:r>
      <w:r w:rsidRPr="00A861C5">
        <w:rPr>
          <w:sz w:val="24"/>
        </w:rPr>
        <w:t>)</w:t>
      </w:r>
    </w:p>
    <w:p w14:paraId="31B4284A"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A</w:t>
      </w:r>
      <w:r w:rsidRPr="00F01DC5">
        <w:rPr>
          <w:rFonts w:cstheme="minorHAnsi"/>
          <w:i/>
          <w:sz w:val="22"/>
          <w:szCs w:val="22"/>
        </w:rPr>
        <w:t xml:space="preserve"> Termes de références – Initiative </w:t>
      </w:r>
    </w:p>
    <w:p w14:paraId="677A61B7"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B</w:t>
      </w:r>
      <w:r w:rsidRPr="00F01DC5">
        <w:rPr>
          <w:rFonts w:cstheme="minorHAnsi"/>
          <w:i/>
          <w:sz w:val="22"/>
          <w:szCs w:val="22"/>
        </w:rPr>
        <w:t xml:space="preserve"> Termes de références – vérification des dépenses AFD dans le cadre d’un contrat de délégation de fonds groupe</w:t>
      </w:r>
    </w:p>
    <w:p w14:paraId="5D03AA95"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C</w:t>
      </w:r>
      <w:r w:rsidRPr="00F01DC5">
        <w:rPr>
          <w:rFonts w:cstheme="minorHAnsi"/>
          <w:i/>
          <w:sz w:val="22"/>
          <w:szCs w:val="22"/>
        </w:rPr>
        <w:t xml:space="preserve"> Termes de références – vérification des dépenses UE – Contrat de service </w:t>
      </w:r>
    </w:p>
    <w:p w14:paraId="70B3EEB1"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D</w:t>
      </w:r>
      <w:r w:rsidRPr="00F01DC5">
        <w:rPr>
          <w:rFonts w:cstheme="minorHAnsi"/>
          <w:i/>
          <w:sz w:val="22"/>
          <w:szCs w:val="22"/>
        </w:rPr>
        <w:t xml:space="preserve"> Termes de références – vérification des dépenses UE – Contrat de subvention</w:t>
      </w:r>
    </w:p>
    <w:p w14:paraId="41D8F0F7"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E</w:t>
      </w:r>
      <w:r w:rsidRPr="00F01DC5">
        <w:rPr>
          <w:rFonts w:cstheme="minorHAnsi"/>
          <w:i/>
          <w:sz w:val="22"/>
          <w:szCs w:val="22"/>
        </w:rPr>
        <w:t xml:space="preserve"> Termes de références – vérification des dépenses UE – Contrat de jumelage </w:t>
      </w:r>
    </w:p>
    <w:p w14:paraId="3AA10687"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F</w:t>
      </w:r>
      <w:r w:rsidRPr="00F01DC5">
        <w:rPr>
          <w:rFonts w:cstheme="minorHAnsi"/>
          <w:i/>
          <w:sz w:val="22"/>
          <w:szCs w:val="22"/>
        </w:rPr>
        <w:t xml:space="preserve"> Manuel des jumelages (version en vigueur) </w:t>
      </w:r>
    </w:p>
    <w:p w14:paraId="4E8437DE"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G</w:t>
      </w:r>
      <w:r w:rsidRPr="00F01DC5">
        <w:rPr>
          <w:rFonts w:cstheme="minorHAnsi"/>
          <w:i/>
          <w:sz w:val="22"/>
          <w:szCs w:val="22"/>
        </w:rPr>
        <w:t xml:space="preserve"> Manuel PAGoDA 2</w:t>
      </w:r>
    </w:p>
    <w:p w14:paraId="41601CC9"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H</w:t>
      </w:r>
      <w:r w:rsidRPr="00F01DC5">
        <w:rPr>
          <w:rFonts w:cstheme="minorHAnsi"/>
          <w:i/>
          <w:sz w:val="22"/>
          <w:szCs w:val="22"/>
        </w:rPr>
        <w:t xml:space="preserve"> Manuel Convention de Contribution </w:t>
      </w:r>
    </w:p>
    <w:p w14:paraId="1F3D1C65"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 xml:space="preserve">Annexe I </w:t>
      </w:r>
      <w:r w:rsidRPr="00F01DC5">
        <w:rPr>
          <w:rFonts w:cstheme="minorHAnsi"/>
          <w:i/>
          <w:sz w:val="22"/>
          <w:szCs w:val="22"/>
        </w:rPr>
        <w:t>Termes de références – audit opinion (audit système) pour les contrats de délégation UE - PAGoDA</w:t>
      </w:r>
      <w:r w:rsidRPr="00F01DC5">
        <w:rPr>
          <w:rFonts w:cstheme="minorHAnsi"/>
          <w:i/>
          <w:sz w:val="22"/>
          <w:szCs w:val="22"/>
          <w:u w:val="single"/>
        </w:rPr>
        <w:t xml:space="preserve"> </w:t>
      </w:r>
    </w:p>
    <w:p w14:paraId="06770C36"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J Guide pratique pour la gestion de projet (DO_GU06)</w:t>
      </w:r>
    </w:p>
    <w:p w14:paraId="201C2BF7"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K Guide de gestion des audits (DO_GU012)</w:t>
      </w:r>
    </w:p>
    <w:p w14:paraId="73CF6CFB"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L Liste de documents audits de projets (DO_IM029)</w:t>
      </w:r>
    </w:p>
    <w:p w14:paraId="7794D99C" w14:textId="77777777" w:rsidR="00130E40" w:rsidRPr="00F01DC5"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M Liste de documents audits de projets en subvention (DO_IM030)</w:t>
      </w:r>
    </w:p>
    <w:p w14:paraId="246D1C67" w14:textId="443E5AF4" w:rsidR="00130E40" w:rsidRPr="00930D5F" w:rsidRDefault="00130E40"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rPr>
      </w:pPr>
      <w:r w:rsidRPr="00F01DC5">
        <w:rPr>
          <w:rFonts w:cstheme="minorHAnsi"/>
          <w:i/>
          <w:sz w:val="22"/>
          <w:szCs w:val="22"/>
          <w:u w:val="single"/>
        </w:rPr>
        <w:t>Annexe N Politique voyages (MG_IM002)</w:t>
      </w:r>
    </w:p>
    <w:p w14:paraId="637F2431" w14:textId="77777777" w:rsidR="00746D4F" w:rsidRPr="00930D5F" w:rsidRDefault="00746D4F"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u w:val="single"/>
        </w:rPr>
      </w:pPr>
      <w:r w:rsidRPr="00930D5F">
        <w:rPr>
          <w:rFonts w:cstheme="minorHAnsi"/>
          <w:i/>
          <w:sz w:val="22"/>
          <w:szCs w:val="22"/>
          <w:u w:val="single"/>
        </w:rPr>
        <w:t>Annexe O Bon de commande (DAJ_M030)</w:t>
      </w:r>
    </w:p>
    <w:p w14:paraId="2734094D" w14:textId="750C1AF6" w:rsidR="00746D4F" w:rsidRPr="00930D5F" w:rsidRDefault="00746D4F" w:rsidP="00B900C6">
      <w:pPr>
        <w:pStyle w:val="En-tte"/>
        <w:numPr>
          <w:ilvl w:val="0"/>
          <w:numId w:val="15"/>
        </w:numPr>
        <w:tabs>
          <w:tab w:val="clear" w:pos="4153"/>
          <w:tab w:val="clear" w:pos="8306"/>
        </w:tabs>
        <w:spacing w:before="0" w:beforeAutospacing="0" w:after="0" w:afterAutospacing="0"/>
        <w:ind w:left="1985"/>
        <w:jc w:val="both"/>
        <w:rPr>
          <w:rFonts w:cstheme="minorHAnsi"/>
          <w:i/>
          <w:sz w:val="22"/>
          <w:szCs w:val="22"/>
          <w:u w:val="single"/>
        </w:rPr>
      </w:pPr>
      <w:r w:rsidRPr="00930D5F">
        <w:rPr>
          <w:rFonts w:cstheme="minorHAnsi"/>
          <w:i/>
          <w:sz w:val="22"/>
          <w:szCs w:val="22"/>
          <w:u w:val="single"/>
        </w:rPr>
        <w:t>Annexe P Marché subséquent</w:t>
      </w:r>
    </w:p>
    <w:p w14:paraId="08E75019" w14:textId="77777777" w:rsidR="00C3009A" w:rsidRPr="00F01DC5" w:rsidRDefault="00C3009A" w:rsidP="00C3009A">
      <w:pPr>
        <w:pStyle w:val="En-tte"/>
        <w:tabs>
          <w:tab w:val="clear" w:pos="4153"/>
          <w:tab w:val="clear" w:pos="8306"/>
        </w:tabs>
        <w:spacing w:before="0" w:beforeAutospacing="0" w:after="0" w:afterAutospacing="0"/>
        <w:ind w:left="720"/>
        <w:jc w:val="both"/>
        <w:rPr>
          <w:rFonts w:cstheme="minorHAnsi"/>
          <w:i/>
          <w:sz w:val="22"/>
          <w:szCs w:val="22"/>
        </w:rPr>
      </w:pPr>
    </w:p>
    <w:p w14:paraId="2CF876CC" w14:textId="77777777" w:rsidR="00A861C5" w:rsidRDefault="00A861C5" w:rsidP="00C3009A">
      <w:pPr>
        <w:spacing w:before="0" w:beforeAutospacing="0" w:after="0" w:afterAutospacing="0"/>
        <w:ind w:left="1560" w:hanging="1560"/>
        <w:jc w:val="both"/>
        <w:rPr>
          <w:sz w:val="24"/>
        </w:rPr>
      </w:pPr>
      <w:r w:rsidRPr="00A861C5">
        <w:rPr>
          <w:b/>
          <w:sz w:val="24"/>
        </w:rPr>
        <w:t>Annexe II</w:t>
      </w:r>
      <w:r w:rsidRPr="00A861C5">
        <w:rPr>
          <w:sz w:val="24"/>
        </w:rPr>
        <w:t xml:space="preserve"> –</w:t>
      </w:r>
      <w:r w:rsidRPr="00A861C5">
        <w:rPr>
          <w:sz w:val="24"/>
        </w:rPr>
        <w:tab/>
        <w:t xml:space="preserve">Offre du contractant (référence n° </w:t>
      </w:r>
      <w:r w:rsidRPr="000A2F66">
        <w:rPr>
          <w:i/>
          <w:sz w:val="24"/>
          <w:highlight w:val="yellow"/>
        </w:rPr>
        <w:t>compléter</w:t>
      </w:r>
      <w:r w:rsidRPr="00A861C5">
        <w:rPr>
          <w:sz w:val="24"/>
        </w:rPr>
        <w:t xml:space="preserve"> du </w:t>
      </w:r>
      <w:r w:rsidRPr="000A2F66">
        <w:rPr>
          <w:i/>
          <w:sz w:val="24"/>
          <w:highlight w:val="yellow"/>
        </w:rPr>
        <w:t>date</w:t>
      </w:r>
      <w:r w:rsidRPr="00A861C5">
        <w:rPr>
          <w:sz w:val="24"/>
        </w:rPr>
        <w:t>)</w:t>
      </w:r>
    </w:p>
    <w:p w14:paraId="52F22DED" w14:textId="231FA016" w:rsidR="00394C78" w:rsidRPr="00A861C5" w:rsidRDefault="00394C78" w:rsidP="00C3009A">
      <w:pPr>
        <w:spacing w:before="0" w:beforeAutospacing="0" w:after="0" w:afterAutospacing="0"/>
        <w:ind w:left="1560" w:hanging="1560"/>
        <w:jc w:val="both"/>
        <w:rPr>
          <w:b/>
        </w:rPr>
      </w:pPr>
      <w:r>
        <w:rPr>
          <w:b/>
          <w:sz w:val="24"/>
        </w:rPr>
        <w:t xml:space="preserve">Annexe III </w:t>
      </w:r>
      <w:r w:rsidRPr="00394C78">
        <w:rPr>
          <w:b/>
        </w:rPr>
        <w:t>-</w:t>
      </w:r>
      <w:r>
        <w:rPr>
          <w:b/>
        </w:rPr>
        <w:tab/>
      </w:r>
      <w:r w:rsidRPr="00394C78">
        <w:rPr>
          <w:sz w:val="24"/>
        </w:rPr>
        <w:t xml:space="preserve"> </w:t>
      </w:r>
      <w:r w:rsidR="008F5E54">
        <w:rPr>
          <w:sz w:val="24"/>
        </w:rPr>
        <w:t>grille tarifaire</w:t>
      </w:r>
      <w:r w:rsidRPr="00394C78">
        <w:rPr>
          <w:sz w:val="24"/>
        </w:rPr>
        <w:t>(</w:t>
      </w:r>
      <w:r w:rsidR="008F5E54">
        <w:rPr>
          <w:sz w:val="24"/>
        </w:rPr>
        <w:t>signée et</w:t>
      </w:r>
      <w:r w:rsidRPr="00A861C5">
        <w:rPr>
          <w:sz w:val="24"/>
        </w:rPr>
        <w:t xml:space="preserve"> </w:t>
      </w:r>
      <w:r w:rsidRPr="00394C78">
        <w:rPr>
          <w:i/>
          <w:sz w:val="24"/>
          <w:highlight w:val="yellow"/>
        </w:rPr>
        <w:t>dat</w:t>
      </w:r>
      <w:r w:rsidR="008F5E54">
        <w:rPr>
          <w:i/>
          <w:sz w:val="24"/>
        </w:rPr>
        <w:t>é</w:t>
      </w:r>
      <w:r w:rsidRPr="00394C78">
        <w:rPr>
          <w:sz w:val="24"/>
        </w:rPr>
        <w:t>)</w:t>
      </w:r>
    </w:p>
    <w:p w14:paraId="2FD8B152" w14:textId="77777777" w:rsidR="009037DA" w:rsidRDefault="009037DA" w:rsidP="00C3009A">
      <w:pPr>
        <w:spacing w:before="0" w:beforeAutospacing="0" w:after="0" w:afterAutospacing="0"/>
        <w:ind w:left="1560" w:hanging="1560"/>
        <w:jc w:val="both"/>
        <w:rPr>
          <w:sz w:val="24"/>
        </w:rPr>
      </w:pPr>
      <w:r w:rsidRPr="00AF3D29">
        <w:rPr>
          <w:b/>
          <w:sz w:val="24"/>
        </w:rPr>
        <w:t>Annex</w:t>
      </w:r>
      <w:r w:rsidR="00AF3D29" w:rsidRPr="00AF3D29">
        <w:rPr>
          <w:b/>
          <w:sz w:val="24"/>
        </w:rPr>
        <w:t>e</w:t>
      </w:r>
      <w:r w:rsidRPr="00AF3D29">
        <w:rPr>
          <w:b/>
          <w:sz w:val="24"/>
        </w:rPr>
        <w:t xml:space="preserve"> I</w:t>
      </w:r>
      <w:r w:rsidR="00402BCF">
        <w:rPr>
          <w:b/>
          <w:sz w:val="24"/>
        </w:rPr>
        <w:t>V</w:t>
      </w:r>
      <w:r w:rsidRPr="00AF3D29">
        <w:rPr>
          <w:sz w:val="24"/>
        </w:rPr>
        <w:t xml:space="preserve"> –</w:t>
      </w:r>
      <w:r w:rsidRPr="00AF3D29">
        <w:rPr>
          <w:sz w:val="24"/>
        </w:rPr>
        <w:tab/>
      </w:r>
      <w:r w:rsidR="00130E40">
        <w:rPr>
          <w:sz w:val="24"/>
        </w:rPr>
        <w:t>Formulaire de candidature</w:t>
      </w:r>
    </w:p>
    <w:p w14:paraId="27175090" w14:textId="77777777" w:rsidR="00BB03CA" w:rsidRDefault="00BB03CA" w:rsidP="00C3009A">
      <w:pPr>
        <w:spacing w:before="0" w:beforeAutospacing="0" w:after="0" w:afterAutospacing="0"/>
        <w:ind w:left="1560" w:hanging="1560"/>
        <w:jc w:val="both"/>
        <w:rPr>
          <w:sz w:val="24"/>
        </w:rPr>
      </w:pPr>
      <w:r w:rsidRPr="00AF3D29">
        <w:rPr>
          <w:b/>
          <w:sz w:val="24"/>
        </w:rPr>
        <w:t>Annexe</w:t>
      </w:r>
      <w:r w:rsidR="00402BCF">
        <w:rPr>
          <w:b/>
          <w:sz w:val="24"/>
        </w:rPr>
        <w:t xml:space="preserve"> </w:t>
      </w:r>
      <w:r>
        <w:rPr>
          <w:b/>
          <w:sz w:val="24"/>
        </w:rPr>
        <w:t>V</w:t>
      </w:r>
      <w:r w:rsidRPr="00AF3D29">
        <w:rPr>
          <w:sz w:val="24"/>
        </w:rPr>
        <w:t xml:space="preserve"> –</w:t>
      </w:r>
      <w:r w:rsidRPr="00AF3D29">
        <w:rPr>
          <w:sz w:val="24"/>
        </w:rPr>
        <w:tab/>
      </w:r>
      <w:r w:rsidRPr="00BB03CA">
        <w:rPr>
          <w:sz w:val="24"/>
        </w:rPr>
        <w:t>Annexe contractuelle collecte DCP (sous-traitant RGPD)</w:t>
      </w:r>
    </w:p>
    <w:p w14:paraId="447A5983" w14:textId="77777777" w:rsidR="00D0074E" w:rsidRDefault="00BB03CA" w:rsidP="00C3009A">
      <w:pPr>
        <w:spacing w:before="0" w:beforeAutospacing="0" w:after="0" w:afterAutospacing="0"/>
        <w:ind w:left="1560" w:hanging="1560"/>
        <w:jc w:val="both"/>
        <w:rPr>
          <w:sz w:val="24"/>
        </w:rPr>
      </w:pPr>
      <w:r w:rsidRPr="00BA2188">
        <w:rPr>
          <w:b/>
          <w:sz w:val="24"/>
        </w:rPr>
        <w:t>Annexe V</w:t>
      </w:r>
      <w:r w:rsidR="00402BCF" w:rsidRPr="00BA2188">
        <w:rPr>
          <w:b/>
          <w:sz w:val="24"/>
        </w:rPr>
        <w:t>I</w:t>
      </w:r>
      <w:r w:rsidRPr="00BA2188">
        <w:rPr>
          <w:b/>
          <w:sz w:val="24"/>
        </w:rPr>
        <w:t xml:space="preserve"> </w:t>
      </w:r>
      <w:r w:rsidRPr="00BA2188">
        <w:rPr>
          <w:sz w:val="24"/>
        </w:rPr>
        <w:t>-</w:t>
      </w:r>
      <w:r w:rsidRPr="00BA2188">
        <w:rPr>
          <w:sz w:val="24"/>
        </w:rPr>
        <w:tab/>
      </w:r>
      <w:r w:rsidR="00F41A74">
        <w:rPr>
          <w:sz w:val="24"/>
        </w:rPr>
        <w:t>Attestation de non exclusion et non conflit d’intérêts</w:t>
      </w:r>
    </w:p>
    <w:p w14:paraId="24C8CF15" w14:textId="77777777" w:rsidR="00BB03CA" w:rsidRDefault="00965AD5" w:rsidP="00C3009A">
      <w:pPr>
        <w:spacing w:before="0" w:beforeAutospacing="0" w:after="0" w:afterAutospacing="0"/>
        <w:ind w:left="1560" w:hanging="1560"/>
        <w:jc w:val="both"/>
        <w:rPr>
          <w:sz w:val="24"/>
        </w:rPr>
      </w:pPr>
      <w:r>
        <w:rPr>
          <w:b/>
          <w:sz w:val="24"/>
        </w:rPr>
        <w:t>Annexe</w:t>
      </w:r>
      <w:r w:rsidR="00D0074E">
        <w:rPr>
          <w:b/>
          <w:sz w:val="24"/>
        </w:rPr>
        <w:t>VII</w:t>
      </w:r>
      <w:r w:rsidR="00D0074E" w:rsidRPr="00724DEA">
        <w:rPr>
          <w:sz w:val="24"/>
        </w:rPr>
        <w:t>-</w:t>
      </w:r>
      <w:r>
        <w:rPr>
          <w:sz w:val="24"/>
        </w:rPr>
        <w:t xml:space="preserve"> </w:t>
      </w:r>
      <w:r w:rsidRPr="00965AD5">
        <w:rPr>
          <w:sz w:val="24"/>
        </w:rPr>
        <w:t>Attestation d’engagement à signer relative au respect des critères environnementaux et sociaux.</w:t>
      </w:r>
    </w:p>
    <w:p w14:paraId="46BD1FF6" w14:textId="77777777" w:rsidR="00C3009A" w:rsidRDefault="00C3009A" w:rsidP="00C3009A">
      <w:pPr>
        <w:spacing w:before="0" w:beforeAutospacing="0" w:after="0" w:afterAutospacing="0"/>
        <w:ind w:left="1560" w:hanging="1560"/>
        <w:jc w:val="both"/>
        <w:rPr>
          <w:sz w:val="24"/>
        </w:rPr>
      </w:pPr>
    </w:p>
    <w:p w14:paraId="607FF735" w14:textId="77777777" w:rsidR="00A861C5" w:rsidRPr="00A861C5" w:rsidRDefault="00A861C5" w:rsidP="00A861C5">
      <w:pPr>
        <w:jc w:val="both"/>
        <w:rPr>
          <w:sz w:val="24"/>
        </w:rPr>
      </w:pPr>
      <w:r w:rsidRPr="00A861C5">
        <w:rPr>
          <w:sz w:val="24"/>
        </w:rPr>
        <w:t xml:space="preserve">qui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283B9A1A" w14:textId="77777777" w:rsidR="00A861C5" w:rsidRPr="00E07ACB" w:rsidRDefault="00A861C5" w:rsidP="00B900C6">
      <w:pPr>
        <w:pStyle w:val="Paragraphedeliste"/>
        <w:numPr>
          <w:ilvl w:val="0"/>
          <w:numId w:val="20"/>
        </w:numPr>
        <w:jc w:val="both"/>
        <w:rPr>
          <w:sz w:val="24"/>
        </w:rPr>
      </w:pPr>
      <w:bookmarkStart w:id="0" w:name="_Toc201229418"/>
      <w:r w:rsidRPr="00E07ACB">
        <w:rPr>
          <w:sz w:val="24"/>
        </w:rPr>
        <w:t>Les dispositions des conditions particulières prévalent sur c</w:t>
      </w:r>
      <w:r w:rsidR="00BB03CA" w:rsidRPr="00E07ACB">
        <w:rPr>
          <w:sz w:val="24"/>
        </w:rPr>
        <w:t>elles des autres parties du CC.</w:t>
      </w:r>
      <w:bookmarkEnd w:id="0"/>
    </w:p>
    <w:p w14:paraId="119395DD" w14:textId="77777777" w:rsidR="00A861C5" w:rsidRPr="00E07ACB" w:rsidRDefault="00A861C5" w:rsidP="00B900C6">
      <w:pPr>
        <w:pStyle w:val="Paragraphedeliste"/>
        <w:numPr>
          <w:ilvl w:val="0"/>
          <w:numId w:val="20"/>
        </w:numPr>
        <w:jc w:val="both"/>
        <w:rPr>
          <w:sz w:val="24"/>
        </w:rPr>
      </w:pPr>
      <w:bookmarkStart w:id="1" w:name="_Toc201229419"/>
      <w:r w:rsidRPr="00E07ACB">
        <w:rPr>
          <w:sz w:val="24"/>
        </w:rPr>
        <w:t>Les dispositions des conditions générales prévalent sur celles du modèle de bon de commande et d</w:t>
      </w:r>
      <w:r w:rsidR="00BB03CA" w:rsidRPr="00E07ACB">
        <w:rPr>
          <w:sz w:val="24"/>
        </w:rPr>
        <w:t>u modèle de marché subséquent.</w:t>
      </w:r>
      <w:bookmarkEnd w:id="1"/>
    </w:p>
    <w:p w14:paraId="65E8FE86" w14:textId="77777777" w:rsidR="00A861C5" w:rsidRPr="00E07ACB" w:rsidRDefault="00A861C5" w:rsidP="00B900C6">
      <w:pPr>
        <w:pStyle w:val="Paragraphedeliste"/>
        <w:numPr>
          <w:ilvl w:val="0"/>
          <w:numId w:val="20"/>
        </w:numPr>
        <w:jc w:val="both"/>
        <w:rPr>
          <w:sz w:val="24"/>
        </w:rPr>
      </w:pPr>
      <w:bookmarkStart w:id="2" w:name="_Toc201229420"/>
      <w:r w:rsidRPr="00E07ACB">
        <w:rPr>
          <w:sz w:val="24"/>
        </w:rPr>
        <w:t xml:space="preserve">Les dispositions du modèle de bon de commande et du modèle </w:t>
      </w:r>
      <w:r w:rsidR="00BB03CA" w:rsidRPr="00E07ACB">
        <w:rPr>
          <w:sz w:val="24"/>
        </w:rPr>
        <w:t>de marché subséquent</w:t>
      </w:r>
      <w:r w:rsidRPr="00E07ACB">
        <w:rPr>
          <w:sz w:val="24"/>
        </w:rPr>
        <w:t xml:space="preserve"> prévalent</w:t>
      </w:r>
      <w:r w:rsidR="00792D94" w:rsidRPr="00E07ACB">
        <w:rPr>
          <w:sz w:val="24"/>
        </w:rPr>
        <w:t xml:space="preserve"> sur celles des autres annexes.</w:t>
      </w:r>
      <w:bookmarkEnd w:id="2"/>
    </w:p>
    <w:p w14:paraId="36794035" w14:textId="77777777" w:rsidR="00A861C5" w:rsidRPr="00E07ACB" w:rsidRDefault="00A861C5" w:rsidP="00B900C6">
      <w:pPr>
        <w:pStyle w:val="Paragraphedeliste"/>
        <w:numPr>
          <w:ilvl w:val="0"/>
          <w:numId w:val="20"/>
        </w:numPr>
        <w:jc w:val="both"/>
        <w:rPr>
          <w:sz w:val="24"/>
        </w:rPr>
      </w:pPr>
      <w:bookmarkStart w:id="3" w:name="_Toc201229421"/>
      <w:r w:rsidRPr="00E07ACB">
        <w:rPr>
          <w:sz w:val="24"/>
        </w:rPr>
        <w:t>Les dispositions du cahier des charges (annexe I) prévalent sur celles de l'offre (annexe II).</w:t>
      </w:r>
      <w:bookmarkEnd w:id="3"/>
    </w:p>
    <w:p w14:paraId="64A10FD0" w14:textId="77777777" w:rsidR="00A861C5" w:rsidRPr="00E07ACB" w:rsidRDefault="00A861C5" w:rsidP="00B900C6">
      <w:pPr>
        <w:pStyle w:val="Paragraphedeliste"/>
        <w:numPr>
          <w:ilvl w:val="0"/>
          <w:numId w:val="20"/>
        </w:numPr>
        <w:jc w:val="both"/>
        <w:rPr>
          <w:sz w:val="24"/>
        </w:rPr>
      </w:pPr>
      <w:bookmarkStart w:id="4" w:name="_Toc201229422"/>
      <w:r w:rsidRPr="00E07ACB">
        <w:rPr>
          <w:sz w:val="24"/>
        </w:rPr>
        <w:lastRenderedPageBreak/>
        <w:t>Les dispositions du contrat-cadre prévalent sur celles des bons de comman</w:t>
      </w:r>
      <w:r w:rsidR="00792D94" w:rsidRPr="00E07ACB">
        <w:rPr>
          <w:sz w:val="24"/>
        </w:rPr>
        <w:t xml:space="preserve">de et des </w:t>
      </w:r>
      <w:r w:rsidR="00885E85" w:rsidRPr="00E07ACB">
        <w:rPr>
          <w:sz w:val="24"/>
        </w:rPr>
        <w:t>marchés subséquents</w:t>
      </w:r>
      <w:r w:rsidR="00792D94" w:rsidRPr="00E07ACB">
        <w:rPr>
          <w:sz w:val="24"/>
        </w:rPr>
        <w:t>.</w:t>
      </w:r>
      <w:bookmarkEnd w:id="4"/>
    </w:p>
    <w:p w14:paraId="11E8813F" w14:textId="158F61BE" w:rsidR="006C15A1" w:rsidRPr="00837DF1" w:rsidRDefault="006C15A1" w:rsidP="006C15A1">
      <w:pPr>
        <w:pStyle w:val="Heading1contract"/>
        <w:spacing w:before="100" w:after="360" w:afterAutospacing="0"/>
      </w:pPr>
      <w:r w:rsidRPr="00837DF1">
        <w:t>I – Conditions PARTICULIÈRES</w:t>
      </w:r>
    </w:p>
    <w:p w14:paraId="1FB309D5" w14:textId="77777777" w:rsidR="006C15A1" w:rsidRPr="00837DF1" w:rsidRDefault="006C15A1" w:rsidP="006C15A1">
      <w:pPr>
        <w:pStyle w:val="Heading2contracts"/>
      </w:pPr>
      <w:bookmarkStart w:id="5" w:name="_Toc201229423"/>
      <w:bookmarkStart w:id="6" w:name="_Toc201856525"/>
      <w:r w:rsidRPr="00837DF1">
        <w:t>Article I.1 – Objet</w:t>
      </w:r>
      <w:bookmarkEnd w:id="5"/>
      <w:bookmarkEnd w:id="6"/>
    </w:p>
    <w:p w14:paraId="328CEFD8" w14:textId="77777777" w:rsidR="00A053E1" w:rsidRPr="00093B58" w:rsidRDefault="00A053E1" w:rsidP="00BF374A">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792D94">
        <w:rPr>
          <w:sz w:val="24"/>
        </w:rPr>
        <w:t>une prestation de services d’audits au profit d’Expertise France</w:t>
      </w:r>
      <w:r w:rsidRPr="00093B58">
        <w:rPr>
          <w:sz w:val="24"/>
        </w:rPr>
        <w:t>.</w:t>
      </w:r>
    </w:p>
    <w:p w14:paraId="63DA0589" w14:textId="77777777" w:rsidR="00A053E1" w:rsidRDefault="00A053E1" w:rsidP="00BF374A">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w:t>
      </w:r>
      <w:r w:rsidR="00792D94">
        <w:rPr>
          <w:sz w:val="24"/>
        </w:rPr>
        <w:t>marché subséquents</w:t>
      </w:r>
      <w:r w:rsidRPr="00093B58">
        <w:rPr>
          <w:sz w:val="24"/>
        </w:rPr>
        <w:t xml:space="preserve"> engage </w:t>
      </w:r>
      <w:r w:rsidR="00CB2123">
        <w:rPr>
          <w:sz w:val="24"/>
        </w:rPr>
        <w:t>Expertise France</w:t>
      </w:r>
      <w:r w:rsidRPr="00093B58">
        <w:rPr>
          <w:sz w:val="24"/>
        </w:rPr>
        <w:t>.</w:t>
      </w:r>
    </w:p>
    <w:p w14:paraId="3E135154" w14:textId="0F4D3AE5" w:rsidR="00965AD5" w:rsidRPr="00965AD5" w:rsidRDefault="00965AD5" w:rsidP="00965AD5">
      <w:pPr>
        <w:suppressAutoHyphens/>
        <w:ind w:left="851" w:hanging="851"/>
        <w:jc w:val="both"/>
        <w:rPr>
          <w:b/>
          <w:noProof/>
        </w:rPr>
      </w:pPr>
      <w:r>
        <w:rPr>
          <w:b/>
          <w:noProof/>
          <w:sz w:val="24"/>
        </w:rPr>
        <w:t xml:space="preserve">                </w:t>
      </w:r>
      <w:r w:rsidRPr="00724DEA">
        <w:rPr>
          <w:sz w:val="24"/>
        </w:rPr>
        <w:t xml:space="preserve">Le CC est conclu sans montant minimum et avec un montant maximum fixé à </w:t>
      </w:r>
      <w:r w:rsidR="00F76903">
        <w:rPr>
          <w:sz w:val="24"/>
        </w:rPr>
        <w:t>5 400 000 € HT (cinq millions quatre cent mille euros hors taxes)</w:t>
      </w:r>
      <w:r w:rsidRPr="00724DEA">
        <w:rPr>
          <w:sz w:val="24"/>
        </w:rPr>
        <w:t xml:space="preserve"> pour toute sa durée d'exécution, incluant ses éventuelles reconductions</w:t>
      </w:r>
      <w:r w:rsidRPr="00965AD5">
        <w:rPr>
          <w:b/>
          <w:noProof/>
        </w:rPr>
        <w:t>.</w:t>
      </w:r>
    </w:p>
    <w:p w14:paraId="0623E753" w14:textId="77777777" w:rsidR="00965AD5" w:rsidRPr="00724DEA" w:rsidRDefault="00965AD5" w:rsidP="00965AD5">
      <w:pPr>
        <w:suppressAutoHyphens/>
        <w:ind w:left="851" w:hanging="851"/>
        <w:jc w:val="both"/>
        <w:rPr>
          <w:sz w:val="24"/>
        </w:rPr>
      </w:pPr>
      <w:r>
        <w:rPr>
          <w:b/>
          <w:bCs/>
          <w:noProof/>
          <w:sz w:val="24"/>
        </w:rPr>
        <w:t xml:space="preserve">I.1.3   </w:t>
      </w:r>
      <w:r w:rsidRPr="00965AD5">
        <w:rPr>
          <w:sz w:val="24"/>
        </w:rPr>
        <w:t xml:space="preserve">   </w:t>
      </w:r>
      <w:r>
        <w:rPr>
          <w:sz w:val="24"/>
        </w:rPr>
        <w:t xml:space="preserve"> </w:t>
      </w:r>
      <w:r w:rsidRPr="00724DEA">
        <w:rPr>
          <w:sz w:val="24"/>
        </w:rPr>
        <w:t>Le présent contrat constitue un accord-cadre mono-attributaire à bons de commande et à marchés subséquents, conclu en application des articles R. 2162-1 à R. 2162-14 du Code de la commande publique.</w:t>
      </w:r>
    </w:p>
    <w:p w14:paraId="2A6E0C88" w14:textId="77777777" w:rsidR="00965AD5" w:rsidRPr="00912025" w:rsidRDefault="00965AD5" w:rsidP="00965AD5">
      <w:pPr>
        <w:suppressAutoHyphens/>
        <w:ind w:left="851" w:hanging="851"/>
        <w:jc w:val="both"/>
        <w:rPr>
          <w:noProof/>
          <w:sz w:val="24"/>
        </w:rPr>
      </w:pPr>
      <w:r w:rsidRPr="00912025">
        <w:rPr>
          <w:noProof/>
          <w:sz w:val="24"/>
        </w:rPr>
        <w:t xml:space="preserve"> Il s’exécute :</w:t>
      </w:r>
    </w:p>
    <w:p w14:paraId="5AE38BC8" w14:textId="77777777" w:rsidR="00965AD5" w:rsidRPr="00912025" w:rsidRDefault="00965AD5" w:rsidP="00B900C6">
      <w:pPr>
        <w:numPr>
          <w:ilvl w:val="0"/>
          <w:numId w:val="18"/>
        </w:numPr>
        <w:suppressAutoHyphens/>
        <w:jc w:val="both"/>
        <w:rPr>
          <w:noProof/>
          <w:sz w:val="24"/>
        </w:rPr>
      </w:pPr>
      <w:r w:rsidRPr="00912025">
        <w:rPr>
          <w:noProof/>
          <w:sz w:val="24"/>
        </w:rPr>
        <w:t xml:space="preserve">soit par émission de </w:t>
      </w:r>
      <w:r w:rsidRPr="00912025">
        <w:rPr>
          <w:bCs/>
          <w:noProof/>
          <w:sz w:val="24"/>
        </w:rPr>
        <w:t>bons de commande</w:t>
      </w:r>
      <w:r w:rsidRPr="00912025">
        <w:rPr>
          <w:noProof/>
          <w:sz w:val="24"/>
        </w:rPr>
        <w:t>, conformément aux articles R.2162-13 et R.2162-14 du Code de la commande publique, pour les prestations standardisées ou récurrentes identifiées au sein du bordereau de prix unitaires;</w:t>
      </w:r>
    </w:p>
    <w:p w14:paraId="66765158" w14:textId="77777777" w:rsidR="00BF374A" w:rsidRPr="00912025" w:rsidRDefault="00965AD5" w:rsidP="00B900C6">
      <w:pPr>
        <w:numPr>
          <w:ilvl w:val="0"/>
          <w:numId w:val="18"/>
        </w:numPr>
        <w:suppressAutoHyphens/>
        <w:jc w:val="both"/>
        <w:rPr>
          <w:noProof/>
          <w:sz w:val="24"/>
        </w:rPr>
      </w:pPr>
      <w:r w:rsidRPr="00912025">
        <w:rPr>
          <w:noProof/>
          <w:sz w:val="24"/>
        </w:rPr>
        <w:t xml:space="preserve">soit par passation de </w:t>
      </w:r>
      <w:r w:rsidRPr="00912025">
        <w:rPr>
          <w:bCs/>
          <w:noProof/>
          <w:sz w:val="24"/>
        </w:rPr>
        <w:t>marchés subséquents</w:t>
      </w:r>
      <w:r w:rsidRPr="00912025">
        <w:rPr>
          <w:noProof/>
          <w:sz w:val="24"/>
        </w:rPr>
        <w:t xml:space="preserve">, lorsque les prestations nécessitent une définition plus précise des besoins ou une adaptation </w:t>
      </w:r>
      <w:r w:rsidR="00912025" w:rsidRPr="00912025">
        <w:rPr>
          <w:noProof/>
          <w:sz w:val="24"/>
        </w:rPr>
        <w:t>spécifique.</w:t>
      </w:r>
    </w:p>
    <w:p w14:paraId="641B8711" w14:textId="77777777" w:rsidR="00BF374A" w:rsidRPr="00093B58" w:rsidRDefault="00BF374A" w:rsidP="00E33A17">
      <w:pPr>
        <w:suppressAutoHyphens/>
        <w:ind w:left="851" w:hanging="851"/>
        <w:jc w:val="both"/>
        <w:rPr>
          <w:sz w:val="24"/>
        </w:rPr>
      </w:pPr>
    </w:p>
    <w:p w14:paraId="0F1978D0" w14:textId="77777777" w:rsidR="00093B58" w:rsidRPr="00093B58" w:rsidRDefault="00093B58" w:rsidP="00093B58">
      <w:pPr>
        <w:pStyle w:val="Titre2"/>
      </w:pPr>
      <w:bookmarkStart w:id="7" w:name="_Toc201229424"/>
      <w:bookmarkStart w:id="8" w:name="_Toc201856526"/>
      <w:r w:rsidRPr="00093B58">
        <w:t>Article I.2 – Entrée en vigueur et durée</w:t>
      </w:r>
      <w:bookmarkEnd w:id="7"/>
      <w:bookmarkEnd w:id="8"/>
      <w:r w:rsidRPr="00093B58">
        <w:t xml:space="preserve"> </w:t>
      </w:r>
    </w:p>
    <w:p w14:paraId="5F3C6AAC" w14:textId="77777777" w:rsidR="00695F72" w:rsidRDefault="00093B58" w:rsidP="00E33A17">
      <w:pPr>
        <w:ind w:left="851" w:hanging="851"/>
        <w:jc w:val="both"/>
        <w:rPr>
          <w:sz w:val="24"/>
        </w:rPr>
      </w:pPr>
      <w:r w:rsidRPr="00093B58">
        <w:rPr>
          <w:b/>
          <w:noProof/>
          <w:color w:val="000000"/>
          <w:sz w:val="24"/>
        </w:rPr>
        <w:t>I.2.1</w:t>
      </w:r>
      <w:r w:rsidRPr="00093B58">
        <w:rPr>
          <w:color w:val="000000"/>
          <w:sz w:val="24"/>
        </w:rPr>
        <w:tab/>
      </w:r>
      <w:r w:rsidRPr="00093B58">
        <w:rPr>
          <w:sz w:val="24"/>
        </w:rPr>
        <w:t>Le CC entre en vigueur</w:t>
      </w:r>
      <w:r w:rsidR="00303FCA">
        <w:rPr>
          <w:sz w:val="24"/>
        </w:rPr>
        <w:t xml:space="preserve"> à sa date de notification</w:t>
      </w:r>
      <w:r w:rsidR="00695F72">
        <w:rPr>
          <w:sz w:val="24"/>
        </w:rPr>
        <w:t>.</w:t>
      </w:r>
    </w:p>
    <w:p w14:paraId="2BD541A5" w14:textId="77777777"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 xml:space="preserve">L'exécution des tâches ne peut en aucune circonstance commencer avant la date d'entrée en vigueur du bon de commande ou du </w:t>
      </w:r>
      <w:r w:rsidR="00695F72">
        <w:rPr>
          <w:sz w:val="24"/>
        </w:rPr>
        <w:t>marché subséquent</w:t>
      </w:r>
      <w:r w:rsidRPr="00093B58">
        <w:rPr>
          <w:sz w:val="24"/>
        </w:rPr>
        <w:t>.</w:t>
      </w:r>
    </w:p>
    <w:p w14:paraId="4E90A809" w14:textId="4E6D63DB" w:rsidR="000F2B78" w:rsidRPr="000F2B78" w:rsidRDefault="00093B58" w:rsidP="000F2B78">
      <w:pPr>
        <w:jc w:val="both"/>
        <w:rPr>
          <w:sz w:val="24"/>
        </w:rPr>
      </w:pPr>
      <w:r w:rsidRPr="00093B58">
        <w:rPr>
          <w:b/>
          <w:noProof/>
          <w:color w:val="000000"/>
          <w:sz w:val="24"/>
        </w:rPr>
        <w:t>I.2.</w:t>
      </w:r>
      <w:r w:rsidRPr="00093B58">
        <w:rPr>
          <w:b/>
          <w:noProof/>
          <w:sz w:val="24"/>
        </w:rPr>
        <w:t>3</w:t>
      </w:r>
      <w:r w:rsidRPr="00093B58">
        <w:rPr>
          <w:sz w:val="24"/>
        </w:rPr>
        <w:tab/>
      </w:r>
      <w:r w:rsidRPr="000F2B78">
        <w:rPr>
          <w:sz w:val="24"/>
        </w:rPr>
        <w:t>Le CC est</w:t>
      </w:r>
      <w:r w:rsidR="000F2B78" w:rsidRPr="000F2B78">
        <w:rPr>
          <w:sz w:val="24"/>
        </w:rPr>
        <w:t xml:space="preserve"> conclu pour une durée</w:t>
      </w:r>
      <w:r w:rsidR="000F2B78" w:rsidRPr="000F2B78">
        <w:rPr>
          <w:sz w:val="24"/>
        </w:rPr>
        <w:t xml:space="preserve"> fixée à quarante-huit (48) mois</w:t>
      </w:r>
      <w:r w:rsidR="000F2B78">
        <w:rPr>
          <w:sz w:val="24"/>
        </w:rPr>
        <w:t xml:space="preserve"> à compter de sa date de    </w:t>
      </w:r>
      <w:r w:rsidR="000F2B78" w:rsidRPr="000F2B78">
        <w:rPr>
          <w:sz w:val="24"/>
        </w:rPr>
        <w:t xml:space="preserve">démarrage. </w:t>
      </w:r>
    </w:p>
    <w:p w14:paraId="1E8B37D0" w14:textId="77777777" w:rsidR="000F2B78" w:rsidRPr="000F2B78" w:rsidRDefault="000F2B78" w:rsidP="000F2B78">
      <w:pPr>
        <w:spacing w:before="0" w:beforeAutospacing="0" w:after="0" w:afterAutospacing="0"/>
        <w:jc w:val="both"/>
        <w:rPr>
          <w:rFonts w:ascii="Calibri" w:eastAsia="Times" w:hAnsi="Calibri" w:cs="Calibri"/>
          <w:sz w:val="22"/>
          <w:szCs w:val="22"/>
        </w:rPr>
      </w:pPr>
    </w:p>
    <w:p w14:paraId="5DE8F888" w14:textId="77777777" w:rsidR="000F2B78" w:rsidRPr="000F2B78" w:rsidRDefault="000F2B78" w:rsidP="000F2B78">
      <w:pPr>
        <w:spacing w:before="0" w:beforeAutospacing="0" w:after="0" w:afterAutospacing="0"/>
        <w:ind w:left="851"/>
        <w:jc w:val="both"/>
        <w:rPr>
          <w:rFonts w:eastAsia="Times" w:cstheme="minorHAnsi"/>
          <w:sz w:val="24"/>
          <w:szCs w:val="22"/>
        </w:rPr>
      </w:pPr>
      <w:r w:rsidRPr="000F2B78">
        <w:rPr>
          <w:rFonts w:eastAsia="Times" w:cstheme="minorHAnsi"/>
          <w:sz w:val="24"/>
          <w:szCs w:val="22"/>
        </w:rPr>
        <w:lastRenderedPageBreak/>
        <w:t xml:space="preserve">La </w:t>
      </w:r>
      <w:r w:rsidRPr="000F2B78">
        <w:rPr>
          <w:rFonts w:eastAsia="Times" w:cstheme="minorHAnsi"/>
          <w:b/>
          <w:bCs/>
          <w:sz w:val="24"/>
          <w:szCs w:val="22"/>
        </w:rPr>
        <w:t>date de démarrage du contrat</w:t>
      </w:r>
      <w:r w:rsidRPr="000F2B78">
        <w:rPr>
          <w:rFonts w:eastAsia="Times" w:cstheme="minorHAnsi"/>
          <w:sz w:val="24"/>
          <w:szCs w:val="22"/>
        </w:rPr>
        <w:t xml:space="preserve"> est arrêtée au </w:t>
      </w:r>
      <w:r w:rsidRPr="000F2B78">
        <w:rPr>
          <w:rFonts w:eastAsia="Times" w:cstheme="minorHAnsi"/>
          <w:b/>
          <w:bCs/>
          <w:sz w:val="24"/>
          <w:szCs w:val="22"/>
        </w:rPr>
        <w:t>23 décembre 2025</w:t>
      </w:r>
      <w:r w:rsidRPr="000F2B78">
        <w:rPr>
          <w:rFonts w:eastAsia="Times" w:cstheme="minorHAnsi"/>
          <w:sz w:val="24"/>
          <w:szCs w:val="22"/>
        </w:rPr>
        <w:t xml:space="preserve">, date à partir de laquelle le contrat produira ses effets juridiques. À titre indicatif, la </w:t>
      </w:r>
      <w:r w:rsidRPr="000F2B78">
        <w:rPr>
          <w:rFonts w:eastAsia="Times" w:cstheme="minorHAnsi"/>
          <w:b/>
          <w:bCs/>
          <w:sz w:val="24"/>
          <w:szCs w:val="22"/>
        </w:rPr>
        <w:t>date prévisionnelle de notification au plus tôt du marché</w:t>
      </w:r>
      <w:r w:rsidRPr="000F2B78">
        <w:rPr>
          <w:rFonts w:eastAsia="Times" w:cstheme="minorHAnsi"/>
          <w:sz w:val="24"/>
          <w:szCs w:val="22"/>
        </w:rPr>
        <w:t xml:space="preserve"> est fixée au </w:t>
      </w:r>
      <w:r w:rsidRPr="000F2B78">
        <w:rPr>
          <w:rFonts w:eastAsia="Times" w:cstheme="minorHAnsi"/>
          <w:b/>
          <w:bCs/>
          <w:sz w:val="24"/>
          <w:szCs w:val="22"/>
        </w:rPr>
        <w:t>27 octobre 2025</w:t>
      </w:r>
      <w:r w:rsidRPr="000F2B78">
        <w:rPr>
          <w:rFonts w:eastAsia="Times" w:cstheme="minorHAnsi"/>
          <w:sz w:val="24"/>
          <w:szCs w:val="22"/>
        </w:rPr>
        <w:t>.</w:t>
      </w:r>
    </w:p>
    <w:p w14:paraId="4D936EAB" w14:textId="77777777" w:rsidR="000F2B78" w:rsidRPr="000F2B78" w:rsidRDefault="000F2B78" w:rsidP="000F2B78">
      <w:pPr>
        <w:spacing w:before="0" w:beforeAutospacing="0" w:after="0" w:afterAutospacing="0"/>
        <w:ind w:left="851"/>
        <w:jc w:val="both"/>
        <w:rPr>
          <w:rFonts w:ascii="Calibri" w:eastAsia="Times" w:hAnsi="Calibri" w:cs="Calibri"/>
          <w:sz w:val="22"/>
          <w:szCs w:val="22"/>
        </w:rPr>
      </w:pPr>
    </w:p>
    <w:p w14:paraId="2F4425C4" w14:textId="2D4FD5D5" w:rsidR="00093B58" w:rsidRPr="00093B58" w:rsidRDefault="00093B58" w:rsidP="000F2B78">
      <w:pPr>
        <w:suppressAutoHyphens/>
        <w:ind w:left="851"/>
        <w:jc w:val="both"/>
        <w:rPr>
          <w:sz w:val="24"/>
        </w:rPr>
      </w:pPr>
      <w:r w:rsidRPr="00FC28A5">
        <w:rPr>
          <w:b/>
          <w:sz w:val="24"/>
        </w:rPr>
        <w:t xml:space="preserve"> </w:t>
      </w:r>
      <w:r w:rsidR="000F2B78">
        <w:rPr>
          <w:b/>
          <w:sz w:val="24"/>
        </w:rPr>
        <w:t>La première année d’exécution est d’une</w:t>
      </w:r>
      <w:r w:rsidRPr="00FC28A5">
        <w:rPr>
          <w:b/>
          <w:sz w:val="24"/>
        </w:rPr>
        <w:t xml:space="preserve"> durée de </w:t>
      </w:r>
      <w:r w:rsidR="00695F72" w:rsidRPr="00FC28A5">
        <w:rPr>
          <w:b/>
          <w:sz w:val="24"/>
        </w:rPr>
        <w:t>12 mois</w:t>
      </w:r>
      <w:r w:rsidRPr="003B3B75">
        <w:rPr>
          <w:sz w:val="24"/>
        </w:rPr>
        <w:t xml:space="preserve"> </w:t>
      </w:r>
      <w:r w:rsidRPr="00BA396D">
        <w:rPr>
          <w:sz w:val="24"/>
        </w:rPr>
        <w:t>à compter</w:t>
      </w:r>
      <w:r w:rsidR="00B26E3F" w:rsidRPr="00BA396D">
        <w:rPr>
          <w:sz w:val="24"/>
        </w:rPr>
        <w:t xml:space="preserve"> </w:t>
      </w:r>
      <w:r w:rsidR="000F2B78">
        <w:rPr>
          <w:sz w:val="24"/>
        </w:rPr>
        <w:t>de la</w:t>
      </w:r>
      <w:r w:rsidR="00B26E3F" w:rsidRPr="00BA396D">
        <w:rPr>
          <w:sz w:val="24"/>
        </w:rPr>
        <w:t xml:space="preserve"> date de </w:t>
      </w:r>
      <w:r w:rsidR="000F2B78">
        <w:rPr>
          <w:sz w:val="24"/>
        </w:rPr>
        <w:t>démarrage</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6469AD56" w14:textId="77777777" w:rsidR="006E1DD8" w:rsidRDefault="006E1DD8" w:rsidP="00836C28">
      <w:pPr>
        <w:suppressAutoHyphens/>
        <w:jc w:val="both"/>
        <w:rPr>
          <w:sz w:val="24"/>
        </w:rPr>
      </w:pPr>
    </w:p>
    <w:p w14:paraId="452BB3FA" w14:textId="77777777"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38A461B3" w14:textId="77777777" w:rsidR="00370490" w:rsidRDefault="00093B58" w:rsidP="00724DEA">
      <w:pPr>
        <w:jc w:val="both"/>
        <w:rPr>
          <w:sz w:val="24"/>
        </w:rPr>
      </w:pPr>
      <w:r w:rsidRPr="00093B58">
        <w:rPr>
          <w:sz w:val="24"/>
        </w:rPr>
        <w:t xml:space="preserve">Le CC est reconduit tacitement </w:t>
      </w:r>
      <w:r w:rsidR="00AB2C10">
        <w:rPr>
          <w:sz w:val="24"/>
        </w:rPr>
        <w:t xml:space="preserve">3 </w:t>
      </w:r>
      <w:r w:rsidRPr="00093B58">
        <w:rPr>
          <w:sz w:val="24"/>
        </w:rPr>
        <w:t xml:space="preserve">fois au maximum,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notification est </w:t>
      </w:r>
      <w:r w:rsidR="00BC3C45">
        <w:rPr>
          <w:sz w:val="24"/>
        </w:rPr>
        <w:t>notifié</w:t>
      </w:r>
      <w:r w:rsidR="00AB2C10">
        <w:rPr>
          <w:sz w:val="24"/>
        </w:rPr>
        <w:t>e</w:t>
      </w:r>
      <w:r w:rsidR="00BC3C45">
        <w:rPr>
          <w:sz w:val="24"/>
        </w:rPr>
        <w:t xml:space="preserve"> au contractant </w:t>
      </w:r>
      <w:r w:rsidRPr="00093B58">
        <w:rPr>
          <w:sz w:val="24"/>
        </w:rPr>
        <w:t xml:space="preserve">trois mois avant l'expiration du délai mentionné à l'article I.2.3. Cette reconduction n'entraîne ni modification ni report des </w:t>
      </w:r>
      <w:r w:rsidR="00AB2C10">
        <w:rPr>
          <w:sz w:val="24"/>
        </w:rPr>
        <w:t>obligations en vigueur</w:t>
      </w:r>
      <w:r w:rsidR="00370490" w:rsidRPr="0032600D">
        <w:rPr>
          <w:sz w:val="24"/>
        </w:rPr>
        <w:t xml:space="preserve">, notamment en ce qui concerne les prix, les obligations ou les modalités d’exécution </w:t>
      </w:r>
      <w:r w:rsidR="00370490">
        <w:rPr>
          <w:sz w:val="24"/>
        </w:rPr>
        <w:t xml:space="preserve">et </w:t>
      </w:r>
      <w:r w:rsidR="00370490" w:rsidRPr="00724DEA">
        <w:rPr>
          <w:bCs/>
          <w:sz w:val="24"/>
        </w:rPr>
        <w:t>n’a pas pour effet de prolonger ou de reporter les obligations du titulaire</w:t>
      </w:r>
      <w:r w:rsidR="00370490" w:rsidRPr="00370490">
        <w:rPr>
          <w:sz w:val="24"/>
        </w:rPr>
        <w:t xml:space="preserve"> </w:t>
      </w:r>
      <w:r w:rsidR="00370490" w:rsidRPr="0032600D">
        <w:rPr>
          <w:sz w:val="24"/>
        </w:rPr>
        <w:t>au-delà des échéances prévues, sauf stipulation contraire formalisée dans un avenant.</w:t>
      </w:r>
    </w:p>
    <w:p w14:paraId="1544EEBD" w14:textId="77777777" w:rsidR="00370490" w:rsidRPr="00724DEA" w:rsidRDefault="00370490" w:rsidP="00836C28">
      <w:pPr>
        <w:spacing w:before="0" w:beforeAutospacing="0" w:after="0" w:afterAutospacing="0"/>
        <w:jc w:val="both"/>
        <w:rPr>
          <w:sz w:val="24"/>
        </w:rPr>
      </w:pPr>
      <w:r w:rsidRPr="00724DEA">
        <w:rPr>
          <w:sz w:val="24"/>
        </w:rPr>
        <w:t>En cas de non reconduction, Expertise France notifie expressément au titulaire, par écrit, sa décision de ne pas reconduire le contrat.</w:t>
      </w:r>
    </w:p>
    <w:p w14:paraId="108792EB" w14:textId="77777777" w:rsidR="00370490" w:rsidRPr="00724DEA" w:rsidRDefault="00370490" w:rsidP="00836C28">
      <w:pPr>
        <w:spacing w:before="0" w:beforeAutospacing="0" w:after="0" w:afterAutospacing="0"/>
        <w:jc w:val="both"/>
        <w:rPr>
          <w:sz w:val="24"/>
        </w:rPr>
      </w:pPr>
      <w:r w:rsidRPr="00724DEA">
        <w:rPr>
          <w:sz w:val="24"/>
        </w:rPr>
        <w:t>Cette notification doit être transmise au plus tard trois (3) mois avant l’expiration de la période en cours.</w:t>
      </w:r>
    </w:p>
    <w:p w14:paraId="3C1BF512" w14:textId="77777777" w:rsidR="00370490" w:rsidRDefault="00370490" w:rsidP="00836C28">
      <w:pPr>
        <w:spacing w:before="0" w:beforeAutospacing="0" w:after="0" w:afterAutospacing="0"/>
        <w:jc w:val="both"/>
        <w:rPr>
          <w:sz w:val="24"/>
        </w:rPr>
      </w:pPr>
    </w:p>
    <w:p w14:paraId="17959A1E" w14:textId="77777777" w:rsidR="00370490" w:rsidRDefault="00370490" w:rsidP="00724DEA">
      <w:pPr>
        <w:spacing w:before="0" w:beforeAutospacing="0" w:after="0" w:afterAutospacing="0"/>
        <w:jc w:val="both"/>
        <w:rPr>
          <w:sz w:val="24"/>
        </w:rPr>
      </w:pPr>
      <w:r w:rsidRPr="00724DEA">
        <w:rPr>
          <w:sz w:val="24"/>
        </w:rPr>
        <w:t xml:space="preserve">La non-reconduction du contrat à l’issue d’une période contractuelle, même après une ou plusieurs reconductions tacites antérieures, ne constitue ni une résiliation anticipée ni une faute de l’acheteur. Elle ne donne lieu à aucune indemnité ou compensation au profit du titulaire. </w:t>
      </w:r>
    </w:p>
    <w:p w14:paraId="61463DEC" w14:textId="77777777" w:rsidR="00370490" w:rsidRPr="0032600D" w:rsidRDefault="00370490" w:rsidP="00724DEA">
      <w:pPr>
        <w:spacing w:before="0" w:beforeAutospacing="0" w:after="0" w:afterAutospacing="0"/>
        <w:jc w:val="both"/>
        <w:rPr>
          <w:sz w:val="24"/>
        </w:rPr>
      </w:pPr>
    </w:p>
    <w:p w14:paraId="5EC27C72" w14:textId="77777777" w:rsidR="00370490" w:rsidRPr="00724DEA" w:rsidRDefault="00370490" w:rsidP="00724DEA">
      <w:pPr>
        <w:spacing w:before="0" w:beforeAutospacing="0" w:after="0" w:afterAutospacing="0"/>
        <w:jc w:val="both"/>
        <w:rPr>
          <w:sz w:val="24"/>
        </w:rPr>
      </w:pPr>
      <w:r w:rsidRPr="0032600D">
        <w:rPr>
          <w:sz w:val="24"/>
        </w:rPr>
        <w:t>Le titulaire ne pourra se prévaloir d’une absence de notification ou de tout autre élément pour demander une indemnisation ou considérer le contrat comme renouvelé de plein droit au-delà de la durée maximale précisée</w:t>
      </w:r>
      <w:r>
        <w:rPr>
          <w:sz w:val="24"/>
        </w:rPr>
        <w:t xml:space="preserve"> au sein du CC</w:t>
      </w:r>
      <w:r w:rsidRPr="0032600D">
        <w:rPr>
          <w:sz w:val="24"/>
        </w:rPr>
        <w:t>.</w:t>
      </w:r>
    </w:p>
    <w:p w14:paraId="662D08F7" w14:textId="77777777" w:rsidR="00AC78D7" w:rsidRPr="00AC78D7" w:rsidRDefault="00AC78D7" w:rsidP="00AC78D7">
      <w:pPr>
        <w:pStyle w:val="Titre2"/>
      </w:pPr>
      <w:bookmarkStart w:id="9" w:name="_Toc201229425"/>
      <w:bookmarkStart w:id="10" w:name="_Toc201856527"/>
      <w:r w:rsidRPr="00AC78D7">
        <w:t>Article I.3 – Prix</w:t>
      </w:r>
      <w:bookmarkEnd w:id="9"/>
      <w:bookmarkEnd w:id="10"/>
    </w:p>
    <w:p w14:paraId="68BDC69E" w14:textId="77777777" w:rsidR="00252AB2" w:rsidRDefault="00AC78D7" w:rsidP="00724DEA">
      <w:pPr>
        <w:jc w:val="both"/>
        <w:rPr>
          <w:b/>
          <w:sz w:val="24"/>
        </w:rPr>
      </w:pPr>
      <w:r w:rsidRPr="00AC78D7">
        <w:rPr>
          <w:b/>
          <w:noProof/>
          <w:sz w:val="24"/>
        </w:rPr>
        <w:t>I.3.1</w:t>
      </w:r>
      <w:r w:rsidRPr="00AC78D7">
        <w:rPr>
          <w:sz w:val="24"/>
        </w:rPr>
        <w:tab/>
      </w:r>
      <w:r w:rsidRPr="00AB2C10">
        <w:rPr>
          <w:b/>
          <w:sz w:val="24"/>
        </w:rPr>
        <w:t xml:space="preserve">Le montant maximal du CC </w:t>
      </w:r>
    </w:p>
    <w:p w14:paraId="537981E6" w14:textId="77777777" w:rsidR="00C91127" w:rsidRPr="00724DEA" w:rsidRDefault="00252AB2" w:rsidP="00724DEA">
      <w:pPr>
        <w:jc w:val="both"/>
        <w:rPr>
          <w:rFonts w:ascii="Calibri" w:eastAsia="Times" w:hAnsi="Calibri" w:cs="Calibri"/>
          <w:sz w:val="24"/>
          <w:szCs w:val="22"/>
        </w:rPr>
      </w:pPr>
      <w:r w:rsidRPr="00724DEA">
        <w:rPr>
          <w:rFonts w:ascii="Calibri" w:eastAsia="Times" w:hAnsi="Calibri" w:cs="Calibri"/>
          <w:b/>
          <w:sz w:val="24"/>
          <w:szCs w:val="22"/>
        </w:rPr>
        <w:lastRenderedPageBreak/>
        <w:t>Le montant de l’accord-cadre est fixé</w:t>
      </w:r>
      <w:r w:rsidRPr="00724DEA">
        <w:rPr>
          <w:rFonts w:ascii="Calibri" w:eastAsia="Times" w:hAnsi="Calibri" w:cs="Calibri"/>
          <w:sz w:val="24"/>
          <w:szCs w:val="22"/>
        </w:rPr>
        <w:t xml:space="preserve"> </w:t>
      </w:r>
      <w:r w:rsidR="00AC78D7" w:rsidRPr="00724DEA">
        <w:rPr>
          <w:b/>
          <w:sz w:val="28"/>
        </w:rPr>
        <w:t>à</w:t>
      </w:r>
      <w:r w:rsidR="00C91127" w:rsidRPr="00724DEA">
        <w:rPr>
          <w:rFonts w:ascii="Calibri" w:eastAsia="Times" w:hAnsi="Calibri" w:cs="Calibri"/>
          <w:sz w:val="24"/>
          <w:szCs w:val="22"/>
        </w:rPr>
        <w:t xml:space="preserve"> 5 400 000,00 € HT maximum sur toute la durée du marché.</w:t>
      </w:r>
      <w:r w:rsidR="00C91127" w:rsidRPr="00724DEA" w:rsidDel="00370B12">
        <w:rPr>
          <w:rFonts w:ascii="Calibri" w:eastAsia="Times" w:hAnsi="Calibri" w:cs="Calibri"/>
          <w:sz w:val="24"/>
          <w:szCs w:val="22"/>
        </w:rPr>
        <w:t xml:space="preserve"> </w:t>
      </w:r>
    </w:p>
    <w:p w14:paraId="777940F9" w14:textId="77777777" w:rsidR="00C91127" w:rsidRPr="00724DEA" w:rsidRDefault="00C91127" w:rsidP="00836C28">
      <w:pPr>
        <w:spacing w:before="0" w:beforeAutospacing="0" w:after="0" w:afterAutospacing="0"/>
        <w:jc w:val="both"/>
        <w:rPr>
          <w:rFonts w:ascii="Calibri" w:eastAsia="Times" w:hAnsi="Calibri" w:cs="Calibri"/>
          <w:sz w:val="24"/>
          <w:szCs w:val="22"/>
        </w:rPr>
      </w:pPr>
      <w:r w:rsidRPr="00724DEA">
        <w:rPr>
          <w:rFonts w:ascii="Calibri" w:eastAsia="Times" w:hAnsi="Calibri" w:cs="Calibri"/>
          <w:sz w:val="24"/>
          <w:szCs w:val="22"/>
        </w:rPr>
        <w:t>La part à bons de commande est estimée à 1 200 000 HT par an soit 4 800 000 euros HT sur 48 mois.</w:t>
      </w:r>
    </w:p>
    <w:p w14:paraId="01BE8A4B" w14:textId="77777777" w:rsidR="00C91127" w:rsidRPr="00724DEA" w:rsidRDefault="00C91127" w:rsidP="00836C28">
      <w:pPr>
        <w:spacing w:before="0" w:beforeAutospacing="0" w:after="0" w:afterAutospacing="0"/>
        <w:jc w:val="both"/>
        <w:rPr>
          <w:rFonts w:ascii="Calibri" w:eastAsia="Times" w:hAnsi="Calibri" w:cs="Calibri"/>
          <w:sz w:val="24"/>
          <w:szCs w:val="22"/>
        </w:rPr>
      </w:pPr>
    </w:p>
    <w:p w14:paraId="05CC2036" w14:textId="77777777" w:rsidR="00C91127" w:rsidRPr="00724DEA" w:rsidRDefault="00C91127" w:rsidP="00836C28">
      <w:pPr>
        <w:spacing w:before="0" w:beforeAutospacing="0" w:after="0" w:afterAutospacing="0"/>
        <w:jc w:val="both"/>
        <w:rPr>
          <w:rFonts w:ascii="Calibri" w:eastAsia="Times" w:hAnsi="Calibri" w:cs="Calibri"/>
          <w:sz w:val="24"/>
          <w:szCs w:val="22"/>
        </w:rPr>
      </w:pPr>
      <w:r w:rsidRPr="00724DEA">
        <w:rPr>
          <w:rFonts w:ascii="Calibri" w:eastAsia="Times" w:hAnsi="Calibri" w:cs="Calibri"/>
          <w:sz w:val="24"/>
          <w:szCs w:val="22"/>
        </w:rPr>
        <w:t>La part à marchés subséquents est estimée à 150 000 euros HT par an soit 600 000 euros HT sur 48 mois.</w:t>
      </w:r>
    </w:p>
    <w:p w14:paraId="02FC7D9B" w14:textId="77777777" w:rsidR="002B10E3" w:rsidRDefault="00AC78D7" w:rsidP="00724DEA">
      <w:pPr>
        <w:suppressAutoHyphens/>
        <w:jc w:val="both"/>
        <w:rPr>
          <w:sz w:val="24"/>
        </w:rPr>
      </w:pPr>
      <w:r w:rsidRPr="00AC78D7">
        <w:rPr>
          <w:sz w:val="24"/>
        </w:rPr>
        <w:t xml:space="preserve">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p>
    <w:p w14:paraId="2B6B6071" w14:textId="77777777" w:rsidR="00AC78D7" w:rsidRDefault="003A4A56" w:rsidP="00836C28">
      <w:pPr>
        <w:pStyle w:val="u"/>
        <w:widowControl w:val="0"/>
        <w:numPr>
          <w:ilvl w:val="12"/>
          <w:numId w:val="0"/>
        </w:numPr>
        <w:spacing w:before="120"/>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FF1C1C">
        <w:rPr>
          <w:rFonts w:asciiTheme="minorHAnsi" w:hAnsiTheme="minorHAnsi"/>
          <w:sz w:val="24"/>
        </w:rPr>
        <w:t>.</w:t>
      </w:r>
    </w:p>
    <w:p w14:paraId="515FA207" w14:textId="14913937" w:rsidR="003C385D" w:rsidRDefault="00B561C0" w:rsidP="00836C28">
      <w:pPr>
        <w:pStyle w:val="u"/>
        <w:widowControl w:val="0"/>
        <w:numPr>
          <w:ilvl w:val="12"/>
          <w:numId w:val="0"/>
        </w:numPr>
        <w:spacing w:before="120"/>
        <w:rPr>
          <w:rFonts w:asciiTheme="minorHAnsi" w:hAnsiTheme="minorHAnsi"/>
          <w:sz w:val="24"/>
        </w:rPr>
      </w:pPr>
      <w:r>
        <w:rPr>
          <w:rFonts w:asciiTheme="minorHAnsi" w:hAnsiTheme="minorHAnsi"/>
          <w:sz w:val="24"/>
        </w:rPr>
        <w:t xml:space="preserve">Le détail des prix </w:t>
      </w:r>
      <w:r w:rsidR="00C40D46">
        <w:rPr>
          <w:rFonts w:asciiTheme="minorHAnsi" w:hAnsiTheme="minorHAnsi"/>
          <w:sz w:val="24"/>
        </w:rPr>
        <w:t xml:space="preserve">mixtes </w:t>
      </w:r>
      <w:r>
        <w:rPr>
          <w:rFonts w:asciiTheme="minorHAnsi" w:hAnsiTheme="minorHAnsi"/>
          <w:sz w:val="24"/>
        </w:rPr>
        <w:t>figure dans l</w:t>
      </w:r>
      <w:r w:rsidR="00C40D46">
        <w:rPr>
          <w:rFonts w:asciiTheme="minorHAnsi" w:hAnsiTheme="minorHAnsi"/>
          <w:sz w:val="24"/>
        </w:rPr>
        <w:t>a grille tarifaire</w:t>
      </w:r>
      <w:r w:rsidR="000F2B78">
        <w:rPr>
          <w:rFonts w:asciiTheme="minorHAnsi" w:hAnsiTheme="minorHAnsi"/>
          <w:sz w:val="24"/>
        </w:rPr>
        <w:t xml:space="preserve"> </w:t>
      </w:r>
      <w:r w:rsidR="004904E2">
        <w:rPr>
          <w:rFonts w:asciiTheme="minorHAnsi" w:hAnsiTheme="minorHAnsi"/>
          <w:sz w:val="24"/>
        </w:rPr>
        <w:t xml:space="preserve">en annexe </w:t>
      </w:r>
      <w:r w:rsidR="00576989">
        <w:rPr>
          <w:rFonts w:asciiTheme="minorHAnsi" w:hAnsiTheme="minorHAnsi"/>
          <w:sz w:val="24"/>
        </w:rPr>
        <w:t>II</w:t>
      </w:r>
      <w:r w:rsidR="00C40D46">
        <w:rPr>
          <w:rFonts w:asciiTheme="minorHAnsi" w:hAnsiTheme="minorHAnsi"/>
          <w:sz w:val="24"/>
        </w:rPr>
        <w:t>I</w:t>
      </w:r>
      <w:r w:rsidR="00A6113B">
        <w:rPr>
          <w:rFonts w:asciiTheme="minorHAnsi" w:hAnsiTheme="minorHAnsi"/>
          <w:sz w:val="24"/>
        </w:rPr>
        <w:t xml:space="preserve"> du présent CC.</w:t>
      </w:r>
    </w:p>
    <w:p w14:paraId="5CD7BB5C" w14:textId="77777777" w:rsidR="00AC78D7" w:rsidRPr="005565DA" w:rsidRDefault="00AC78D7" w:rsidP="005565DA">
      <w:pPr>
        <w:pStyle w:val="Titre3"/>
        <w:numPr>
          <w:ilvl w:val="0"/>
          <w:numId w:val="0"/>
        </w:numPr>
        <w:rPr>
          <w:b/>
          <w:i w:val="0"/>
          <w:noProof/>
          <w:lang w:eastAsia="ko-KR"/>
        </w:rPr>
      </w:pPr>
      <w:bookmarkStart w:id="11" w:name="_Toc201229426"/>
      <w:bookmarkStart w:id="12" w:name="_Toc201856528"/>
      <w:r w:rsidRPr="005565DA">
        <w:rPr>
          <w:b/>
          <w:i w:val="0"/>
          <w:noProof/>
          <w:lang w:eastAsia="ko-KR"/>
        </w:rPr>
        <w:t>I.3.2 Révision des prix</w:t>
      </w:r>
      <w:bookmarkEnd w:id="11"/>
      <w:bookmarkEnd w:id="12"/>
    </w:p>
    <w:p w14:paraId="5B3BA9F0" w14:textId="77777777" w:rsidR="00AC78D7" w:rsidRPr="00AC78D7" w:rsidRDefault="00AC78D7" w:rsidP="00836C28">
      <w:pPr>
        <w:jc w:val="both"/>
        <w:rPr>
          <w:sz w:val="24"/>
        </w:rPr>
      </w:pPr>
      <w:r w:rsidRPr="00AC78D7">
        <w:rPr>
          <w:sz w:val="24"/>
        </w:rPr>
        <w:t>Les prix sont fermes et non révisables pendant la première année du CC.</w:t>
      </w:r>
    </w:p>
    <w:p w14:paraId="1AF33D26" w14:textId="77777777" w:rsidR="001817E4" w:rsidRDefault="00AC78D7" w:rsidP="00836C28">
      <w:pPr>
        <w:suppressAutoHyphens/>
        <w:jc w:val="both"/>
      </w:pPr>
      <w:r w:rsidRPr="00AC78D7">
        <w:rPr>
          <w:sz w:val="24"/>
        </w:rPr>
        <w:t xml:space="preserve">Au début de la deuxième année du CC et de chaque année qui suit, une fraction de </w:t>
      </w:r>
      <w:r w:rsidR="001B153A">
        <w:rPr>
          <w:sz w:val="24"/>
        </w:rPr>
        <w:t xml:space="preserve">chaque prix, </w:t>
      </w:r>
      <w:r w:rsidRPr="00AC78D7">
        <w:rPr>
          <w:sz w:val="24"/>
        </w:rPr>
        <w:t>peut être révisée à la hausse ou à la baisse, sur demande d'une des parties</w:t>
      </w:r>
      <w:r w:rsidR="005F1C23">
        <w:rPr>
          <w:sz w:val="24"/>
        </w:rPr>
        <w:t>,</w:t>
      </w:r>
      <w:r w:rsidRPr="00AC78D7">
        <w:rPr>
          <w:sz w:val="24"/>
        </w:rPr>
        <w:t xml:space="preserve"> adressée par écrit au plus tard trois mois avant la date anniversaire de la signature du CC. L'autre partie accuse réception de la demande dans les 15 jours suivant la réception de celle-ci. Les nouveaux prix sont communiqués dès que l'indice définitif est disponible. </w:t>
      </w:r>
      <w:r w:rsidR="00CB2123">
        <w:rPr>
          <w:sz w:val="24"/>
        </w:rPr>
        <w:t>Expertise France</w:t>
      </w:r>
      <w:r w:rsidRPr="00AC78D7">
        <w:rPr>
          <w:sz w:val="24"/>
        </w:rPr>
        <w:t xml:space="preserve"> achète aux prix en vigueur à la date de la signature, par les deux parties, des bons de commande ou </w:t>
      </w:r>
      <w:r w:rsidR="005F1C23">
        <w:rPr>
          <w:sz w:val="24"/>
        </w:rPr>
        <w:t>d</w:t>
      </w:r>
      <w:r w:rsidR="00885E85">
        <w:rPr>
          <w:sz w:val="24"/>
        </w:rPr>
        <w:t>es marchés subséquents</w:t>
      </w:r>
      <w:r w:rsidRPr="00AC78D7">
        <w:rPr>
          <w:sz w:val="24"/>
        </w:rPr>
        <w:t xml:space="preserve">. Ces </w:t>
      </w:r>
      <w:r w:rsidR="005F1C23" w:rsidRPr="00AC78D7">
        <w:rPr>
          <w:sz w:val="24"/>
        </w:rPr>
        <w:t>prix-</w:t>
      </w:r>
      <w:r w:rsidR="005F1C23">
        <w:rPr>
          <w:sz w:val="24"/>
        </w:rPr>
        <w:t xml:space="preserve">là </w:t>
      </w:r>
      <w:r w:rsidRPr="00AC78D7">
        <w:rPr>
          <w:sz w:val="24"/>
        </w:rPr>
        <w:t>ne sont pas révisables.</w:t>
      </w:r>
      <w:r w:rsidR="001817E4" w:rsidRPr="001817E4">
        <w:t xml:space="preserve"> </w:t>
      </w:r>
    </w:p>
    <w:p w14:paraId="007D8FEF" w14:textId="77777777" w:rsidR="00AC78D7" w:rsidRDefault="001817E4" w:rsidP="00836C28">
      <w:pPr>
        <w:suppressAutoHyphens/>
        <w:jc w:val="both"/>
        <w:rPr>
          <w:sz w:val="24"/>
        </w:rPr>
      </w:pPr>
      <w:r w:rsidRPr="001817E4">
        <w:rPr>
          <w:sz w:val="24"/>
        </w:rPr>
        <w:t>Les prix réputés pratiqués à la date de début du marché sont révisés annuellement à chaque date</w:t>
      </w:r>
      <w:r>
        <w:rPr>
          <w:sz w:val="24"/>
        </w:rPr>
        <w:t xml:space="preserve"> anniversaire du marché.</w:t>
      </w:r>
    </w:p>
    <w:p w14:paraId="6C076EFB" w14:textId="77777777" w:rsidR="001817E4" w:rsidRPr="00724DEA" w:rsidRDefault="001817E4" w:rsidP="00836C28">
      <w:pPr>
        <w:suppressAutoHyphens/>
        <w:jc w:val="both"/>
        <w:rPr>
          <w:sz w:val="24"/>
        </w:rPr>
      </w:pPr>
      <w:r w:rsidRPr="001817E4">
        <w:rPr>
          <w:sz w:val="24"/>
        </w:rPr>
        <w:t>La révision est réglée par les dispositions suivantes :</w:t>
      </w:r>
    </w:p>
    <w:p w14:paraId="743984FF" w14:textId="77777777" w:rsidR="00203DDA" w:rsidRDefault="00AC78D7" w:rsidP="00836C28">
      <w:pPr>
        <w:suppressAutoHyphens/>
        <w:jc w:val="both"/>
        <w:rPr>
          <w:sz w:val="24"/>
        </w:rPr>
      </w:pPr>
      <w:r w:rsidRPr="00AC78D7">
        <w:rPr>
          <w:sz w:val="24"/>
        </w:rPr>
        <w:t xml:space="preserve">Cette révision est déterminée par l'évolution de l'indice </w:t>
      </w:r>
      <w:r w:rsidR="00F8203A">
        <w:rPr>
          <w:sz w:val="24"/>
        </w:rPr>
        <w:t xml:space="preserve">Insee </w:t>
      </w:r>
      <w:r w:rsidR="005F1C23">
        <w:rPr>
          <w:sz w:val="24"/>
        </w:rPr>
        <w:t>p</w:t>
      </w:r>
      <w:r w:rsidRPr="00AC78D7">
        <w:rPr>
          <w:sz w:val="24"/>
        </w:rPr>
        <w:t>ublié p</w:t>
      </w:r>
      <w:r w:rsidR="00203DDA">
        <w:rPr>
          <w:sz w:val="24"/>
        </w:rPr>
        <w:t xml:space="preserve">ar </w:t>
      </w:r>
      <w:hyperlink r:id="rId10" w:history="1">
        <w:r w:rsidR="003E435A" w:rsidRPr="003E435A">
          <w:rPr>
            <w:rStyle w:val="Lienhypertexte"/>
            <w:sz w:val="24"/>
          </w:rPr>
          <w:t>www.insee.fr</w:t>
        </w:r>
      </w:hyperlink>
    </w:p>
    <w:p w14:paraId="5DB03314" w14:textId="77777777" w:rsidR="001817E4" w:rsidRDefault="001817E4" w:rsidP="00836C28">
      <w:pPr>
        <w:suppressAutoHyphens/>
        <w:jc w:val="both"/>
        <w:rPr>
          <w:sz w:val="24"/>
        </w:rPr>
      </w:pPr>
      <w:r w:rsidRPr="001817E4">
        <w:rPr>
          <w:sz w:val="24"/>
        </w:rPr>
        <w:t>Indice(s) utilisé(s) :</w:t>
      </w:r>
    </w:p>
    <w:p w14:paraId="4BA47DA0" w14:textId="77777777" w:rsidR="001817E4" w:rsidRDefault="00862D3F" w:rsidP="00836C28">
      <w:pPr>
        <w:suppressAutoHyphens/>
        <w:jc w:val="both"/>
        <w:rPr>
          <w:b/>
          <w:bCs/>
          <w:sz w:val="24"/>
        </w:rPr>
      </w:pPr>
      <w:r w:rsidRPr="00724DEA">
        <w:rPr>
          <w:bCs/>
          <w:sz w:val="24"/>
        </w:rPr>
        <w:t xml:space="preserve">Indices des prix de production des services français aux entreprises françaises (BtoB) − CPF 69.20 − Services comptables, d'audits, et de conseil </w:t>
      </w:r>
      <w:r w:rsidR="001817E4" w:rsidRPr="00724DEA">
        <w:rPr>
          <w:bCs/>
          <w:sz w:val="24"/>
        </w:rPr>
        <w:t>fiscal Prix</w:t>
      </w:r>
      <w:r w:rsidRPr="00724DEA">
        <w:rPr>
          <w:bCs/>
          <w:sz w:val="24"/>
        </w:rPr>
        <w:t xml:space="preserve"> de base − Base 2021 − </w:t>
      </w:r>
      <w:r w:rsidR="001817E4" w:rsidRPr="00724DEA">
        <w:rPr>
          <w:bCs/>
          <w:sz w:val="24"/>
        </w:rPr>
        <w:t xml:space="preserve">Données trimestrielles brutes </w:t>
      </w:r>
    </w:p>
    <w:p w14:paraId="00744A88" w14:textId="77777777" w:rsidR="00862D3F" w:rsidRPr="00724DEA" w:rsidRDefault="00862D3F" w:rsidP="00836C28">
      <w:pPr>
        <w:suppressAutoHyphens/>
        <w:jc w:val="both"/>
        <w:rPr>
          <w:b/>
          <w:bCs/>
          <w:sz w:val="24"/>
        </w:rPr>
      </w:pPr>
      <w:r w:rsidRPr="00724DEA">
        <w:rPr>
          <w:bCs/>
          <w:sz w:val="24"/>
        </w:rPr>
        <w:t>Identifiant</w:t>
      </w:r>
      <w:r w:rsidR="001817E4" w:rsidRPr="00724DEA">
        <w:rPr>
          <w:bCs/>
          <w:sz w:val="24"/>
        </w:rPr>
        <w:t> :</w:t>
      </w:r>
      <w:r w:rsidRPr="00862D3F">
        <w:rPr>
          <w:b/>
          <w:bCs/>
          <w:sz w:val="24"/>
        </w:rPr>
        <w:t xml:space="preserve"> 010766437</w:t>
      </w:r>
    </w:p>
    <w:p w14:paraId="085BEA00" w14:textId="77777777" w:rsidR="003466BF" w:rsidRPr="00AC78D7" w:rsidRDefault="003466BF" w:rsidP="003466BF">
      <w:pPr>
        <w:suppressAutoHyphens/>
        <w:jc w:val="both"/>
        <w:rPr>
          <w:sz w:val="24"/>
        </w:rPr>
      </w:pPr>
      <w:r w:rsidRPr="00AC78D7">
        <w:rPr>
          <w:sz w:val="24"/>
        </w:rPr>
        <w:lastRenderedPageBreak/>
        <w:t>La révision est calculée selon la formule:</w:t>
      </w:r>
    </w:p>
    <w:p w14:paraId="492CA405" w14:textId="77777777" w:rsidR="003466BF" w:rsidRPr="00AC78D7" w:rsidRDefault="003466BF" w:rsidP="003466BF">
      <w:pPr>
        <w:tabs>
          <w:tab w:val="left" w:pos="3544"/>
        </w:tabs>
        <w:spacing w:after="0" w:afterAutospacing="0"/>
        <w:ind w:left="1701"/>
        <w:rPr>
          <w:sz w:val="24"/>
        </w:rPr>
      </w:pPr>
      <w:r w:rsidRPr="00AC78D7">
        <w:rPr>
          <w:sz w:val="24"/>
        </w:rPr>
        <w:tab/>
        <w:t>Ir</w:t>
      </w:r>
    </w:p>
    <w:p w14:paraId="509D24A0" w14:textId="77777777" w:rsidR="003466BF" w:rsidRPr="00AC78D7" w:rsidRDefault="003466BF" w:rsidP="003466BF">
      <w:pPr>
        <w:tabs>
          <w:tab w:val="left" w:pos="3402"/>
        </w:tabs>
        <w:spacing w:before="0" w:beforeAutospacing="0" w:after="0" w:afterAutospacing="0"/>
        <w:ind w:left="1701"/>
        <w:rPr>
          <w:sz w:val="24"/>
        </w:rPr>
      </w:pPr>
      <w:r w:rsidRPr="00AC78D7">
        <w:rPr>
          <w:sz w:val="24"/>
        </w:rPr>
        <w:t>Pr = Po x (0,2+0,8 — )</w:t>
      </w:r>
    </w:p>
    <w:p w14:paraId="3792F753" w14:textId="77777777" w:rsidR="003466BF" w:rsidRPr="00AC78D7" w:rsidRDefault="003466BF" w:rsidP="003466BF">
      <w:pPr>
        <w:tabs>
          <w:tab w:val="left" w:pos="3544"/>
        </w:tabs>
        <w:spacing w:before="0" w:beforeAutospacing="0"/>
        <w:rPr>
          <w:sz w:val="24"/>
        </w:rPr>
      </w:pPr>
      <w:r w:rsidRPr="00AC78D7">
        <w:rPr>
          <w:sz w:val="24"/>
        </w:rPr>
        <w:tab/>
        <w:t>Io</w:t>
      </w:r>
    </w:p>
    <w:p w14:paraId="1C2705E5" w14:textId="77777777" w:rsidR="00AC78D7" w:rsidRDefault="00AC78D7" w:rsidP="00836C28">
      <w:pPr>
        <w:tabs>
          <w:tab w:val="left" w:pos="-1440"/>
          <w:tab w:val="left" w:pos="-720"/>
          <w:tab w:val="left" w:pos="396"/>
          <w:tab w:val="left" w:pos="709"/>
          <w:tab w:val="left" w:pos="737"/>
          <w:tab w:val="left" w:pos="1813"/>
          <w:tab w:val="left" w:pos="2381"/>
          <w:tab w:val="left" w:pos="4320"/>
        </w:tabs>
        <w:suppressAutoHyphens/>
        <w:jc w:val="both"/>
        <w:rPr>
          <w:sz w:val="24"/>
        </w:rPr>
      </w:pPr>
      <w:r w:rsidRPr="00AC78D7">
        <w:rPr>
          <w:sz w:val="24"/>
        </w:rPr>
        <w:t>dans laquelle:</w:t>
      </w:r>
    </w:p>
    <w:p w14:paraId="2019D465" w14:textId="77777777" w:rsidR="001817E4" w:rsidRPr="001817E4" w:rsidRDefault="003466BF" w:rsidP="00836C28">
      <w:pPr>
        <w:tabs>
          <w:tab w:val="left" w:pos="-1440"/>
          <w:tab w:val="left" w:pos="-720"/>
          <w:tab w:val="left" w:pos="396"/>
          <w:tab w:val="left" w:pos="709"/>
          <w:tab w:val="left" w:pos="737"/>
          <w:tab w:val="left" w:pos="1813"/>
          <w:tab w:val="left" w:pos="2381"/>
          <w:tab w:val="left" w:pos="4320"/>
        </w:tabs>
        <w:suppressAutoHyphens/>
        <w:jc w:val="both"/>
        <w:rPr>
          <w:sz w:val="24"/>
        </w:rPr>
      </w:pPr>
      <w:r>
        <w:rPr>
          <w:sz w:val="24"/>
        </w:rPr>
        <w:t>Pr</w:t>
      </w:r>
      <w:r w:rsidR="001817E4" w:rsidRPr="001817E4">
        <w:rPr>
          <w:sz w:val="24"/>
        </w:rPr>
        <w:t xml:space="preserve"> : prix de règlement après la révision ;</w:t>
      </w:r>
    </w:p>
    <w:p w14:paraId="19F5F4FE" w14:textId="77777777" w:rsidR="001817E4" w:rsidRPr="001817E4" w:rsidRDefault="001817E4" w:rsidP="00836C28">
      <w:pPr>
        <w:tabs>
          <w:tab w:val="left" w:pos="-1440"/>
          <w:tab w:val="left" w:pos="-720"/>
          <w:tab w:val="left" w:pos="396"/>
          <w:tab w:val="left" w:pos="709"/>
          <w:tab w:val="left" w:pos="737"/>
          <w:tab w:val="left" w:pos="1813"/>
          <w:tab w:val="left" w:pos="2381"/>
          <w:tab w:val="left" w:pos="4320"/>
        </w:tabs>
        <w:suppressAutoHyphens/>
        <w:jc w:val="both"/>
        <w:rPr>
          <w:sz w:val="24"/>
        </w:rPr>
      </w:pPr>
      <w:r w:rsidRPr="001817E4">
        <w:rPr>
          <w:sz w:val="24"/>
        </w:rPr>
        <w:t>P</w:t>
      </w:r>
      <w:r w:rsidR="003466BF">
        <w:rPr>
          <w:sz w:val="24"/>
        </w:rPr>
        <w:t>o</w:t>
      </w:r>
      <w:r w:rsidRPr="001817E4">
        <w:rPr>
          <w:sz w:val="24"/>
        </w:rPr>
        <w:t xml:space="preserve"> : prix de l’offre </w:t>
      </w:r>
      <w:r w:rsidR="003466BF">
        <w:rPr>
          <w:sz w:val="24"/>
        </w:rPr>
        <w:t>initiale</w:t>
      </w:r>
      <w:r w:rsidRPr="001817E4">
        <w:rPr>
          <w:sz w:val="24"/>
        </w:rPr>
        <w:t>;</w:t>
      </w:r>
    </w:p>
    <w:p w14:paraId="0BC486FF" w14:textId="77777777" w:rsidR="001817E4" w:rsidRPr="001817E4" w:rsidRDefault="001817E4" w:rsidP="00836C28">
      <w:pPr>
        <w:tabs>
          <w:tab w:val="left" w:pos="-1440"/>
          <w:tab w:val="left" w:pos="-720"/>
          <w:tab w:val="left" w:pos="396"/>
          <w:tab w:val="left" w:pos="709"/>
          <w:tab w:val="left" w:pos="737"/>
          <w:tab w:val="left" w:pos="1813"/>
          <w:tab w:val="left" w:pos="2381"/>
          <w:tab w:val="left" w:pos="4320"/>
        </w:tabs>
        <w:suppressAutoHyphens/>
        <w:jc w:val="both"/>
        <w:rPr>
          <w:sz w:val="24"/>
        </w:rPr>
      </w:pPr>
      <w:r w:rsidRPr="001817E4">
        <w:rPr>
          <w:sz w:val="24"/>
        </w:rPr>
        <w:t>I</w:t>
      </w:r>
      <w:r w:rsidR="003466BF">
        <w:rPr>
          <w:sz w:val="24"/>
        </w:rPr>
        <w:t>o</w:t>
      </w:r>
      <w:r w:rsidRPr="001817E4">
        <w:rPr>
          <w:sz w:val="24"/>
        </w:rPr>
        <w:t xml:space="preserve"> : dernier indice publié deux mois avant la date d’effet de la révision sur le site de l’INSEE ;</w:t>
      </w:r>
    </w:p>
    <w:p w14:paraId="0D7BAC7F" w14:textId="08A1DEDC" w:rsidR="001817E4" w:rsidRPr="00AC78D7" w:rsidRDefault="003466BF" w:rsidP="00836C28">
      <w:pPr>
        <w:tabs>
          <w:tab w:val="left" w:pos="-1440"/>
          <w:tab w:val="left" w:pos="-720"/>
          <w:tab w:val="left" w:pos="396"/>
          <w:tab w:val="left" w:pos="709"/>
          <w:tab w:val="left" w:pos="737"/>
          <w:tab w:val="left" w:pos="1813"/>
          <w:tab w:val="left" w:pos="2381"/>
          <w:tab w:val="left" w:pos="4320"/>
        </w:tabs>
        <w:suppressAutoHyphens/>
        <w:jc w:val="both"/>
        <w:rPr>
          <w:sz w:val="24"/>
        </w:rPr>
      </w:pPr>
      <w:r>
        <w:rPr>
          <w:sz w:val="24"/>
        </w:rPr>
        <w:t>Ir</w:t>
      </w:r>
      <w:r w:rsidR="001817E4" w:rsidRPr="001817E4">
        <w:rPr>
          <w:sz w:val="24"/>
        </w:rPr>
        <w:t xml:space="preserve"> : indice du mois de dépôt des offres publié sur le site de l’INSEE ;</w:t>
      </w:r>
    </w:p>
    <w:p w14:paraId="5C953F07" w14:textId="77777777" w:rsidR="00AC78D7" w:rsidRPr="005565DA" w:rsidRDefault="00AC78D7" w:rsidP="005565DA">
      <w:pPr>
        <w:pStyle w:val="Titre3"/>
        <w:numPr>
          <w:ilvl w:val="0"/>
          <w:numId w:val="0"/>
        </w:numPr>
        <w:rPr>
          <w:b/>
          <w:i w:val="0"/>
          <w:noProof/>
          <w:lang w:eastAsia="ko-KR"/>
        </w:rPr>
      </w:pPr>
      <w:bookmarkStart w:id="13" w:name="_Toc201229427"/>
      <w:bookmarkStart w:id="14" w:name="_Toc201856529"/>
      <w:r w:rsidRPr="005565DA">
        <w:rPr>
          <w:b/>
          <w:i w:val="0"/>
          <w:noProof/>
          <w:lang w:eastAsia="ko-KR"/>
        </w:rPr>
        <w:t>I.3.3.</w:t>
      </w:r>
      <w:r w:rsidRPr="005565DA">
        <w:rPr>
          <w:b/>
          <w:i w:val="0"/>
          <w:noProof/>
          <w:lang w:eastAsia="ko-KR"/>
        </w:rPr>
        <w:tab/>
        <w:t>Remboursement de frais</w:t>
      </w:r>
      <w:r w:rsidRPr="005565DA">
        <w:rPr>
          <w:i w:val="0"/>
          <w:noProof/>
          <w:vertAlign w:val="superscript"/>
          <w:lang w:eastAsia="ko-KR"/>
        </w:rPr>
        <w:footnoteReference w:id="6"/>
      </w:r>
      <w:bookmarkEnd w:id="13"/>
      <w:bookmarkEnd w:id="14"/>
    </w:p>
    <w:p w14:paraId="649FE6E7" w14:textId="77777777" w:rsidR="00AC78D7" w:rsidRPr="00AC78D7" w:rsidRDefault="00AC78D7" w:rsidP="00AC78D7">
      <w:pPr>
        <w:jc w:val="both"/>
      </w:pPr>
      <w:r w:rsidRPr="00AC78D7">
        <w:rPr>
          <w:sz w:val="24"/>
        </w:rPr>
        <w:t xml:space="preserve">Outre le prix total maximal stipulé dans chaque bon de commande ou </w:t>
      </w:r>
      <w:r w:rsidR="00FE0989">
        <w:rPr>
          <w:sz w:val="24"/>
        </w:rPr>
        <w:t>marché subséquent</w:t>
      </w:r>
      <w:r w:rsidRPr="00AC78D7">
        <w:rPr>
          <w:sz w:val="24"/>
        </w:rPr>
        <w:t>, les frais de voyage, de séjour, d'hébergement et d'expédition sont remboursés conformément à l'article II.16, de même que les autres dépenses prévues dans le cahier des charges</w:t>
      </w:r>
      <w:r w:rsidR="00A8792D">
        <w:rPr>
          <w:sz w:val="24"/>
        </w:rPr>
        <w:t xml:space="preserve"> </w:t>
      </w:r>
      <w:r w:rsidR="00274BA0">
        <w:rPr>
          <w:sz w:val="24"/>
        </w:rPr>
        <w:t>conformément aux modalités décrites dans le CCTP</w:t>
      </w:r>
      <w:r w:rsidR="00836C28">
        <w:rPr>
          <w:sz w:val="24"/>
        </w:rPr>
        <w:t xml:space="preserve"> article 3.3 et annexe N relative à la politique voyage</w:t>
      </w:r>
      <w:r w:rsidR="00A8792D">
        <w:rPr>
          <w:sz w:val="24"/>
        </w:rPr>
        <w:t xml:space="preserve"> MG_IM002</w:t>
      </w:r>
      <w:r w:rsidR="00274BA0">
        <w:rPr>
          <w:sz w:val="24"/>
        </w:rPr>
        <w:t xml:space="preserve"> .</w:t>
      </w:r>
    </w:p>
    <w:p w14:paraId="656A1351" w14:textId="6DA158E5" w:rsidR="00AC78D7" w:rsidRPr="00AC78D7" w:rsidRDefault="00AC78D7" w:rsidP="00AC78D7">
      <w:pPr>
        <w:jc w:val="both"/>
        <w:rPr>
          <w:sz w:val="24"/>
        </w:rPr>
      </w:pPr>
      <w:r w:rsidRPr="00AC78D7">
        <w:rPr>
          <w:sz w:val="24"/>
        </w:rPr>
        <w:t>L'indemnité journalière visée à l'article II.16.4 d) et le plafond forfaitaire des frais d'hébergement visé à l'article II.16.4 e) sont mentionnés à l'</w:t>
      </w:r>
      <w:r w:rsidR="00C40D46" w:rsidRPr="00C40D46">
        <w:rPr>
          <w:sz w:val="24"/>
        </w:rPr>
        <w:t>Annexe N Politique voyages (MG_IM002)</w:t>
      </w:r>
      <w:r w:rsidR="00274BA0">
        <w:rPr>
          <w:i/>
          <w:sz w:val="24"/>
        </w:rPr>
        <w:t>et CCTP</w:t>
      </w:r>
      <w:r w:rsidR="00836C28">
        <w:rPr>
          <w:i/>
          <w:sz w:val="24"/>
        </w:rPr>
        <w:t> </w:t>
      </w:r>
      <w:r w:rsidR="00836C28">
        <w:rPr>
          <w:sz w:val="24"/>
        </w:rPr>
        <w:t>. (MINEFI)</w:t>
      </w:r>
    </w:p>
    <w:p w14:paraId="3173FDBE" w14:textId="77777777" w:rsidR="00487D5D" w:rsidRPr="00487D5D" w:rsidRDefault="00487D5D" w:rsidP="00487D5D">
      <w:pPr>
        <w:pStyle w:val="Titre2"/>
      </w:pPr>
      <w:bookmarkStart w:id="15" w:name="_Toc201229428"/>
      <w:bookmarkStart w:id="16" w:name="_Toc201856530"/>
      <w:r w:rsidRPr="00487D5D">
        <w:t>Article I.4 – Modalités de paiement et exécution du contrat-cadre</w:t>
      </w:r>
      <w:r w:rsidRPr="00487D5D">
        <w:rPr>
          <w:rStyle w:val="Appelnotedebasdep"/>
          <w:i/>
          <w:sz w:val="24"/>
        </w:rPr>
        <w:footnoteReference w:id="7"/>
      </w:r>
      <w:bookmarkEnd w:id="15"/>
      <w:bookmarkEnd w:id="16"/>
    </w:p>
    <w:p w14:paraId="49DA2A67" w14:textId="77777777" w:rsidR="00487D5D" w:rsidRPr="00BE4AD6" w:rsidRDefault="00487D5D" w:rsidP="00BE4AD6">
      <w:pPr>
        <w:pStyle w:val="Titre3"/>
        <w:numPr>
          <w:ilvl w:val="0"/>
          <w:numId w:val="0"/>
        </w:numPr>
        <w:rPr>
          <w:b/>
          <w:i w:val="0"/>
          <w:noProof/>
          <w:lang w:eastAsia="ko-KR"/>
        </w:rPr>
      </w:pPr>
      <w:bookmarkStart w:id="17" w:name="_Toc201229429"/>
      <w:bookmarkStart w:id="18" w:name="_Toc201856531"/>
      <w:r w:rsidRPr="00BE4AD6">
        <w:rPr>
          <w:b/>
          <w:i w:val="0"/>
          <w:noProof/>
          <w:lang w:eastAsia="ko-KR"/>
        </w:rPr>
        <w:t>I.4.1</w:t>
      </w:r>
      <w:r w:rsidRPr="00BE4AD6">
        <w:rPr>
          <w:b/>
          <w:i w:val="0"/>
          <w:noProof/>
          <w:lang w:eastAsia="ko-KR"/>
        </w:rPr>
        <w:tab/>
        <w:t>Contrat-cadre simple</w:t>
      </w:r>
      <w:bookmarkEnd w:id="17"/>
      <w:bookmarkEnd w:id="18"/>
    </w:p>
    <w:p w14:paraId="51999D17" w14:textId="77777777"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de la quantité commandée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p>
    <w:p w14:paraId="0D2C55DF" w14:textId="77777777" w:rsidR="00836C28" w:rsidRPr="00724DEA" w:rsidRDefault="00836C28" w:rsidP="00836C28">
      <w:pPr>
        <w:suppressAutoHyphens/>
        <w:jc w:val="both"/>
        <w:rPr>
          <w:sz w:val="24"/>
        </w:rPr>
      </w:pPr>
      <w:r w:rsidRPr="00724DEA">
        <w:rPr>
          <w:sz w:val="24"/>
        </w:rPr>
        <w:t>Les modalités d’émission des bons de commandes sont définies ainsi qu’il suit :</w:t>
      </w:r>
    </w:p>
    <w:p w14:paraId="78E70FAB" w14:textId="77777777" w:rsidR="00836C28" w:rsidRPr="00724DEA" w:rsidRDefault="00836C28" w:rsidP="00836C28">
      <w:pPr>
        <w:suppressAutoHyphens/>
        <w:jc w:val="both"/>
        <w:rPr>
          <w:sz w:val="24"/>
        </w:rPr>
      </w:pPr>
      <w:r w:rsidRPr="00724DEA">
        <w:rPr>
          <w:sz w:val="24"/>
        </w:rPr>
        <w:lastRenderedPageBreak/>
        <w:t>Les bons de commande sont émis au fur et à mesure de l’expression des besoins d’Expertise France. Ils sont datés, signés et transmis au contractant par Expertise France avant l’expiration de la durée de validité du contrat-cadre.</w:t>
      </w:r>
    </w:p>
    <w:p w14:paraId="53511426" w14:textId="77777777" w:rsidR="00836C28" w:rsidRPr="00724DEA" w:rsidRDefault="00836C28" w:rsidP="00836C28">
      <w:pPr>
        <w:suppressAutoHyphens/>
        <w:jc w:val="both"/>
        <w:rPr>
          <w:sz w:val="24"/>
        </w:rPr>
      </w:pPr>
      <w:r w:rsidRPr="00724DEA">
        <w:rPr>
          <w:sz w:val="24"/>
        </w:rPr>
        <w:t>Chaque bon de commande précise les prestations à réaliser, les délais d’exécution, le lieu d’intervention, les modalités de facturation ainsi que le montant correspondant.</w:t>
      </w:r>
    </w:p>
    <w:p w14:paraId="687EC78D" w14:textId="77777777" w:rsidR="00836C28" w:rsidRPr="00724DEA" w:rsidRDefault="00836C28" w:rsidP="00836C28">
      <w:pPr>
        <w:suppressAutoHyphens/>
        <w:jc w:val="both"/>
        <w:rPr>
          <w:sz w:val="24"/>
        </w:rPr>
      </w:pPr>
      <w:r w:rsidRPr="00724DEA">
        <w:rPr>
          <w:sz w:val="24"/>
        </w:rPr>
        <w:t xml:space="preserve">Les bons de commande ainsi émis doivent être </w:t>
      </w:r>
      <w:r w:rsidRPr="00724DEA">
        <w:rPr>
          <w:bCs/>
          <w:sz w:val="24"/>
        </w:rPr>
        <w:t>exécutés au plus tard dans un délai de six (6) mois suivant l’expiration du contrat-cadre</w:t>
      </w:r>
      <w:r w:rsidRPr="00724DEA">
        <w:rPr>
          <w:sz w:val="24"/>
        </w:rPr>
        <w:t>, sauf disposition contraire prévue expressément dans le bon de commande concerné.</w:t>
      </w:r>
    </w:p>
    <w:p w14:paraId="62BA4C94" w14:textId="45837CC4" w:rsidR="00836C28" w:rsidRDefault="00836C28" w:rsidP="00836C28">
      <w:pPr>
        <w:suppressAutoHyphens/>
        <w:jc w:val="both"/>
        <w:rPr>
          <w:sz w:val="24"/>
        </w:rPr>
      </w:pPr>
      <w:r w:rsidRPr="00724DEA">
        <w:rPr>
          <w:sz w:val="24"/>
        </w:rPr>
        <w:t>Les marchés subséquents sont attribués</w:t>
      </w:r>
      <w:r w:rsidRPr="00836C28">
        <w:rPr>
          <w:sz w:val="24"/>
        </w:rPr>
        <w:t xml:space="preserve"> </w:t>
      </w:r>
      <w:r w:rsidRPr="00724DEA">
        <w:rPr>
          <w:sz w:val="24"/>
        </w:rPr>
        <w:t xml:space="preserve">au contractant pour la réalisation de prestation spécifiques de formation. </w:t>
      </w:r>
      <w:r w:rsidRPr="00836C28">
        <w:rPr>
          <w:sz w:val="24"/>
        </w:rPr>
        <w:t>Les marchés subséquents pourront faire l'objet d'une offre technique et financière de la part du titulaire, précisant les modalités d'exécution, le planning et le prix de la prestation</w:t>
      </w:r>
      <w:r w:rsidR="00C40D46">
        <w:rPr>
          <w:sz w:val="24"/>
        </w:rPr>
        <w:t>, et l’équipe dédiée incluant les CV  détaillé des profils</w:t>
      </w:r>
      <w:r w:rsidRPr="00836C28">
        <w:rPr>
          <w:sz w:val="24"/>
        </w:rPr>
        <w:t>. Cette offre pourra faire l'objet d'une discussion entre les parties dans la limite des stipulations de l’accord-cadre. Aucun marché subséquent ne pourra modifier substantiellement les termes de l’accord-cadre.</w:t>
      </w:r>
      <w:r>
        <w:rPr>
          <w:sz w:val="24"/>
        </w:rPr>
        <w:t xml:space="preserve"> </w:t>
      </w:r>
      <w:r w:rsidRPr="00836C28">
        <w:rPr>
          <w:sz w:val="24"/>
        </w:rPr>
        <w:t xml:space="preserve">Les marchés seront conclus dans la limite du budget maximum indiqué dans le CC. </w:t>
      </w:r>
    </w:p>
    <w:p w14:paraId="2018BA3C" w14:textId="27E87788" w:rsidR="00836C28" w:rsidRPr="00836C28" w:rsidRDefault="00836C28" w:rsidP="00992186">
      <w:pPr>
        <w:suppressAutoHyphens/>
        <w:jc w:val="both"/>
        <w:rPr>
          <w:sz w:val="24"/>
        </w:rPr>
      </w:pPr>
      <w:r w:rsidRPr="00836C28">
        <w:rPr>
          <w:sz w:val="24"/>
        </w:rPr>
        <w:t xml:space="preserve">Le </w:t>
      </w:r>
      <w:r w:rsidRPr="00724DEA">
        <w:rPr>
          <w:bCs/>
          <w:sz w:val="24"/>
        </w:rPr>
        <w:t xml:space="preserve">prix </w:t>
      </w:r>
      <w:r w:rsidR="00C40D46">
        <w:rPr>
          <w:bCs/>
          <w:sz w:val="24"/>
        </w:rPr>
        <w:t xml:space="preserve">plafond </w:t>
      </w:r>
      <w:r w:rsidRPr="00724DEA">
        <w:rPr>
          <w:bCs/>
          <w:sz w:val="24"/>
        </w:rPr>
        <w:t>des marchés subséquents</w:t>
      </w:r>
      <w:r w:rsidRPr="00836C28">
        <w:rPr>
          <w:sz w:val="24"/>
        </w:rPr>
        <w:t xml:space="preserve"> pourra être </w:t>
      </w:r>
      <w:r w:rsidRPr="00724DEA">
        <w:rPr>
          <w:bCs/>
          <w:sz w:val="24"/>
        </w:rPr>
        <w:t>complété, fixé ou ajusté</w:t>
      </w:r>
      <w:r w:rsidRPr="00836C28">
        <w:rPr>
          <w:sz w:val="24"/>
        </w:rPr>
        <w:t xml:space="preserve"> au cas par cas et par marché subséquent, sur la base de l’offre du titulaire et du devis transmis. Les marchés subséquents doivent être signés par les deux parties avant l'expiration du CC et doivent s’exécuter au plus tard six mois après son expiration.</w:t>
      </w:r>
    </w:p>
    <w:p w14:paraId="6FAD5BEC" w14:textId="77777777" w:rsidR="00487D5D" w:rsidRPr="00487D5D" w:rsidRDefault="00487D5D" w:rsidP="00487D5D">
      <w:pPr>
        <w:suppressAutoHyphens/>
        <w:jc w:val="both"/>
      </w:pPr>
      <w:r w:rsidRPr="00487D5D">
        <w:rPr>
          <w:sz w:val="24"/>
        </w:rPr>
        <w:t xml:space="preserve">Lorsque </w:t>
      </w:r>
      <w:r w:rsidR="00CB2123">
        <w:rPr>
          <w:sz w:val="24"/>
        </w:rPr>
        <w:t>Expertise France</w:t>
      </w:r>
      <w:r w:rsidRPr="00487D5D">
        <w:rPr>
          <w:sz w:val="24"/>
        </w:rPr>
        <w:t xml:space="preserve"> a adressé un </w:t>
      </w:r>
      <w:r w:rsidR="00885E85">
        <w:rPr>
          <w:sz w:val="24"/>
        </w:rPr>
        <w:t>marché subséquent</w:t>
      </w:r>
      <w:r w:rsidRPr="00487D5D">
        <w:rPr>
          <w:sz w:val="24"/>
        </w:rPr>
        <w:t xml:space="preserve"> au contractant, il doit le recevoir dûment daté et signé par ce dernier dans un délai </w:t>
      </w:r>
      <w:r w:rsidR="003E05F6">
        <w:rPr>
          <w:sz w:val="24"/>
        </w:rPr>
        <w:t xml:space="preserve">maximum </w:t>
      </w:r>
      <w:r w:rsidRPr="00487D5D">
        <w:rPr>
          <w:sz w:val="24"/>
        </w:rPr>
        <w:t xml:space="preserve">de </w:t>
      </w:r>
      <w:r w:rsidR="00F82B48">
        <w:rPr>
          <w:sz w:val="24"/>
        </w:rPr>
        <w:t xml:space="preserve">10 </w:t>
      </w:r>
      <w:r w:rsidRPr="00487D5D">
        <w:rPr>
          <w:sz w:val="24"/>
        </w:rPr>
        <w:t xml:space="preserve">jours ouvrables à compter de la date d'envoi par </w:t>
      </w:r>
      <w:r w:rsidR="00CB2123">
        <w:rPr>
          <w:sz w:val="24"/>
        </w:rPr>
        <w:t>Expertise France</w:t>
      </w:r>
      <w:r w:rsidRPr="00487D5D">
        <w:rPr>
          <w:sz w:val="24"/>
        </w:rPr>
        <w:t>.</w:t>
      </w:r>
    </w:p>
    <w:p w14:paraId="68AC5B8D" w14:textId="77777777" w:rsidR="008F6F93" w:rsidRPr="00487D5D" w:rsidRDefault="00487D5D" w:rsidP="00487D5D">
      <w:pPr>
        <w:suppressAutoHyphens/>
        <w:jc w:val="both"/>
        <w:rPr>
          <w:sz w:val="24"/>
        </w:rPr>
      </w:pPr>
      <w:r w:rsidRPr="00487D5D">
        <w:rPr>
          <w:sz w:val="24"/>
        </w:rPr>
        <w:t xml:space="preserve">Le délai d'exécution des tâches commence à courir à la date de </w:t>
      </w:r>
      <w:r w:rsidR="00734145">
        <w:rPr>
          <w:sz w:val="24"/>
        </w:rPr>
        <w:t>notification au contractant du bon de commande</w:t>
      </w:r>
      <w:r w:rsidR="00F82B48">
        <w:rPr>
          <w:sz w:val="24"/>
        </w:rPr>
        <w:t xml:space="preserve"> ou </w:t>
      </w:r>
      <w:r w:rsidR="00734145">
        <w:rPr>
          <w:sz w:val="24"/>
        </w:rPr>
        <w:t xml:space="preserve">du </w:t>
      </w:r>
      <w:r w:rsidR="00885E85">
        <w:rPr>
          <w:sz w:val="24"/>
        </w:rPr>
        <w:t>marché subséquent</w:t>
      </w:r>
      <w:r w:rsidR="00734145">
        <w:rPr>
          <w:sz w:val="24"/>
        </w:rPr>
        <w:t xml:space="preserve"> par </w:t>
      </w:r>
      <w:r w:rsidR="00CB2123">
        <w:rPr>
          <w:sz w:val="24"/>
        </w:rPr>
        <w:t>Expertise France</w:t>
      </w:r>
      <w:r w:rsidR="00734145">
        <w:rPr>
          <w:sz w:val="24"/>
        </w:rPr>
        <w:t>,</w:t>
      </w:r>
      <w:r w:rsidRPr="00487D5D">
        <w:rPr>
          <w:sz w:val="24"/>
        </w:rPr>
        <w:t xml:space="preserve"> sauf si le do</w:t>
      </w:r>
      <w:r w:rsidR="00F82B48">
        <w:rPr>
          <w:sz w:val="24"/>
        </w:rPr>
        <w:t>cument mentionne une autre date</w:t>
      </w:r>
      <w:r w:rsidR="00910241">
        <w:rPr>
          <w:sz w:val="24"/>
        </w:rPr>
        <w:t>.</w:t>
      </w:r>
    </w:p>
    <w:p w14:paraId="374122F0" w14:textId="36927F0C" w:rsidR="00487D5D" w:rsidRPr="00487D5D" w:rsidRDefault="003730BC" w:rsidP="00487D5D">
      <w:pPr>
        <w:jc w:val="both"/>
        <w:rPr>
          <w:color w:val="000000"/>
          <w:sz w:val="24"/>
        </w:rPr>
      </w:pPr>
      <w:r>
        <w:rPr>
          <w:b/>
          <w:sz w:val="24"/>
        </w:rPr>
        <w:t>I.4.2</w:t>
      </w:r>
      <w:r>
        <w:rPr>
          <w:b/>
          <w:sz w:val="24"/>
        </w:rPr>
        <w:tab/>
      </w:r>
      <w:r w:rsidR="00487D5D" w:rsidRPr="00487D5D">
        <w:rPr>
          <w:b/>
          <w:sz w:val="24"/>
        </w:rPr>
        <w:t>Préfinancement</w:t>
      </w:r>
      <w:r w:rsidR="00487D5D" w:rsidRPr="00487D5D">
        <w:rPr>
          <w:rStyle w:val="Appelnotedebasdep"/>
          <w:sz w:val="24"/>
        </w:rPr>
        <w:footnoteReference w:id="8"/>
      </w:r>
      <w:r w:rsidR="00AC4A58">
        <w:rPr>
          <w:b/>
          <w:sz w:val="24"/>
        </w:rPr>
        <w:t xml:space="preserve"> (avance)</w:t>
      </w:r>
    </w:p>
    <w:p w14:paraId="11949724" w14:textId="3E98A4E9" w:rsidR="003E05F6" w:rsidRDefault="00134BC6" w:rsidP="00487D5D">
      <w:pPr>
        <w:jc w:val="both"/>
        <w:rPr>
          <w:color w:val="000000"/>
          <w:sz w:val="24"/>
        </w:rPr>
      </w:pPr>
      <w:r>
        <w:rPr>
          <w:sz w:val="24"/>
        </w:rPr>
        <w:t>Le versement d’une avance n’e</w:t>
      </w:r>
      <w:r w:rsidR="000F2B78">
        <w:rPr>
          <w:sz w:val="24"/>
        </w:rPr>
        <w:t>st pas obligatoire toutefois, à</w:t>
      </w:r>
      <w:r w:rsidR="00254AF4">
        <w:rPr>
          <w:sz w:val="24"/>
        </w:rPr>
        <w:t xml:space="preserve"> la demande du contractant, u</w:t>
      </w:r>
      <w:r w:rsidR="00487D5D" w:rsidRPr="00487D5D">
        <w:rPr>
          <w:sz w:val="24"/>
        </w:rPr>
        <w:t xml:space="preserve">n préfinancement correspondant à </w:t>
      </w:r>
      <w:r w:rsidR="00254AF4">
        <w:rPr>
          <w:sz w:val="24"/>
        </w:rPr>
        <w:t>5</w:t>
      </w:r>
      <w:r w:rsidR="00487D5D" w:rsidRPr="00487D5D">
        <w:rPr>
          <w:sz w:val="24"/>
        </w:rPr>
        <w:t xml:space="preserve"> % du prix total du bon de commande ou </w:t>
      </w:r>
      <w:r w:rsidR="00254AF4">
        <w:rPr>
          <w:sz w:val="24"/>
        </w:rPr>
        <w:t xml:space="preserve">du </w:t>
      </w:r>
      <w:r w:rsidR="00885E85">
        <w:rPr>
          <w:sz w:val="24"/>
        </w:rPr>
        <w:t>marché subséquent</w:t>
      </w:r>
      <w:r w:rsidR="00487D5D" w:rsidRPr="00487D5D">
        <w:rPr>
          <w:sz w:val="24"/>
        </w:rPr>
        <w:t xml:space="preserve"> </w:t>
      </w:r>
      <w:r w:rsidR="00254AF4">
        <w:rPr>
          <w:sz w:val="24"/>
        </w:rPr>
        <w:t xml:space="preserve">peut être </w:t>
      </w:r>
      <w:r w:rsidR="00487D5D" w:rsidRPr="00487D5D">
        <w:rPr>
          <w:sz w:val="24"/>
        </w:rPr>
        <w:t>versé</w:t>
      </w:r>
      <w:r w:rsidR="00254AF4">
        <w:rPr>
          <w:sz w:val="24"/>
        </w:rPr>
        <w:t xml:space="preserve">, </w:t>
      </w:r>
      <w:r w:rsidR="00777EA9">
        <w:rPr>
          <w:sz w:val="24"/>
        </w:rPr>
        <w:t>après son entrée en vigueur</w:t>
      </w:r>
      <w:r w:rsidR="00323AB3">
        <w:rPr>
          <w:sz w:val="24"/>
        </w:rPr>
        <w:t>,</w:t>
      </w:r>
      <w:r w:rsidR="00777EA9">
        <w:rPr>
          <w:sz w:val="24"/>
        </w:rPr>
        <w:t xml:space="preserve"> </w:t>
      </w:r>
      <w:r w:rsidR="00487D5D" w:rsidRPr="00487D5D">
        <w:rPr>
          <w:sz w:val="24"/>
        </w:rPr>
        <w:t xml:space="preserve">dans un délai de trente jours à compter </w:t>
      </w:r>
      <w:r w:rsidR="00487D5D" w:rsidRPr="00487D5D">
        <w:rPr>
          <w:sz w:val="24"/>
        </w:rPr>
        <w:lastRenderedPageBreak/>
        <w:t xml:space="preserve">de la réception </w:t>
      </w:r>
      <w:r w:rsidR="003730BC">
        <w:rPr>
          <w:sz w:val="24"/>
        </w:rPr>
        <w:t>de la demande de versement</w:t>
      </w:r>
      <w:r>
        <w:rPr>
          <w:sz w:val="24"/>
        </w:rPr>
        <w:t xml:space="preserve">, dans le respect de l’article R2191-16 du code de </w:t>
      </w:r>
      <w:r w:rsidR="002068AD">
        <w:rPr>
          <w:sz w:val="24"/>
        </w:rPr>
        <w:t>l</w:t>
      </w:r>
      <w:r>
        <w:rPr>
          <w:sz w:val="24"/>
        </w:rPr>
        <w:t>a commande publique</w:t>
      </w:r>
      <w:r w:rsidR="003730BC">
        <w:rPr>
          <w:sz w:val="24"/>
        </w:rPr>
        <w:t>.</w:t>
      </w:r>
      <w:r w:rsidR="00997D5F">
        <w:rPr>
          <w:color w:val="000000"/>
          <w:sz w:val="24"/>
        </w:rPr>
        <w:t xml:space="preserve"> </w:t>
      </w:r>
    </w:p>
    <w:p w14:paraId="00FB429C" w14:textId="23CACC25" w:rsidR="00AC4A58" w:rsidRDefault="00AC4A58" w:rsidP="00487D5D">
      <w:pPr>
        <w:jc w:val="both"/>
        <w:rPr>
          <w:color w:val="000000"/>
          <w:sz w:val="24"/>
        </w:rPr>
      </w:pPr>
      <w:r>
        <w:rPr>
          <w:color w:val="000000"/>
          <w:sz w:val="24"/>
        </w:rPr>
        <w:t>L’avance doit être entièrement reversées lorsque le montant du cumul des paiements des acomptes versés atteint 80% du montant total du CC.</w:t>
      </w:r>
    </w:p>
    <w:p w14:paraId="36067658" w14:textId="64BB4905" w:rsidR="00AC4A58" w:rsidRDefault="00AC4A58" w:rsidP="00487D5D">
      <w:pPr>
        <w:jc w:val="both"/>
        <w:rPr>
          <w:color w:val="000000"/>
          <w:sz w:val="24"/>
        </w:rPr>
      </w:pPr>
      <w:r>
        <w:rPr>
          <w:color w:val="000000"/>
          <w:sz w:val="24"/>
        </w:rPr>
        <w:t>Les préfinancements dus au titre des bons de commande seront précisés dans ces derniers, le cas échéant.</w:t>
      </w:r>
    </w:p>
    <w:p w14:paraId="414FE2C6" w14:textId="726F0E03" w:rsidR="00AC4A58" w:rsidRPr="00487D5D" w:rsidRDefault="00AC4A58" w:rsidP="00AC4A58">
      <w:pPr>
        <w:ind w:left="709" w:hanging="709"/>
        <w:jc w:val="both"/>
        <w:rPr>
          <w:b/>
          <w:color w:val="000000"/>
          <w:sz w:val="24"/>
        </w:rPr>
      </w:pPr>
      <w:r w:rsidRPr="00487D5D">
        <w:rPr>
          <w:b/>
          <w:noProof/>
          <w:color w:val="000000"/>
          <w:sz w:val="24"/>
        </w:rPr>
        <w:t>I.4.</w:t>
      </w:r>
      <w:r w:rsidRPr="00487D5D">
        <w:rPr>
          <w:b/>
          <w:color w:val="000000"/>
          <w:sz w:val="24"/>
        </w:rPr>
        <w:t xml:space="preserve"> </w:t>
      </w:r>
      <w:r>
        <w:rPr>
          <w:b/>
          <w:color w:val="000000"/>
          <w:sz w:val="24"/>
        </w:rPr>
        <w:t>3</w:t>
      </w:r>
      <w:r>
        <w:rPr>
          <w:b/>
          <w:color w:val="000000"/>
          <w:sz w:val="24"/>
        </w:rPr>
        <w:tab/>
      </w:r>
      <w:r w:rsidRPr="00487D5D">
        <w:rPr>
          <w:b/>
          <w:sz w:val="24"/>
        </w:rPr>
        <w:t xml:space="preserve">Paiement </w:t>
      </w:r>
      <w:r>
        <w:rPr>
          <w:b/>
          <w:sz w:val="24"/>
        </w:rPr>
        <w:t>intermédiaires (acompte)</w:t>
      </w:r>
    </w:p>
    <w:p w14:paraId="7FED26D2" w14:textId="12304828" w:rsidR="00AC4A58" w:rsidRDefault="00AC4A58" w:rsidP="00487D5D">
      <w:pPr>
        <w:jc w:val="both"/>
        <w:rPr>
          <w:color w:val="000000"/>
          <w:sz w:val="24"/>
        </w:rPr>
      </w:pPr>
      <w:r>
        <w:rPr>
          <w:color w:val="000000"/>
          <w:sz w:val="24"/>
        </w:rPr>
        <w:t>Pour la partie forfaitaire, le contractant présente une facture pour demander des paiements intermédiaires.</w:t>
      </w:r>
    </w:p>
    <w:p w14:paraId="67478256" w14:textId="17623013" w:rsidR="00AC4A58" w:rsidRDefault="00AC4A58" w:rsidP="00487D5D">
      <w:pPr>
        <w:jc w:val="both"/>
        <w:rPr>
          <w:color w:val="000000"/>
          <w:sz w:val="24"/>
        </w:rPr>
      </w:pPr>
      <w:r>
        <w:rPr>
          <w:color w:val="000000"/>
          <w:sz w:val="24"/>
        </w:rPr>
        <w:t>Les acomptes dus au titre des bons de commande seront précisés dans ces derniers, le cas échéant.</w:t>
      </w:r>
    </w:p>
    <w:p w14:paraId="2CDB0ED0" w14:textId="3791570D" w:rsidR="00AC4A58" w:rsidRPr="00724DEA" w:rsidRDefault="00AC4A58" w:rsidP="00487D5D">
      <w:pPr>
        <w:jc w:val="both"/>
        <w:rPr>
          <w:color w:val="000000"/>
          <w:sz w:val="24"/>
        </w:rPr>
      </w:pPr>
      <w:r>
        <w:rPr>
          <w:color w:val="000000"/>
          <w:sz w:val="24"/>
        </w:rPr>
        <w:t xml:space="preserve">Les paiements intermédiaires ne constituent pas une preuve de réception, même partielle, et ne libèrent pas le prestataire de ses obligations au titre du contrat </w:t>
      </w:r>
      <w:r w:rsidR="009153CE">
        <w:rPr>
          <w:color w:val="000000"/>
          <w:sz w:val="24"/>
        </w:rPr>
        <w:t>et ou du bon de commande considéré.</w:t>
      </w:r>
    </w:p>
    <w:p w14:paraId="0C76F13C" w14:textId="414FB8DE" w:rsidR="00487D5D" w:rsidRPr="00487D5D" w:rsidRDefault="00487D5D" w:rsidP="00487D5D">
      <w:pPr>
        <w:ind w:left="709" w:hanging="709"/>
        <w:jc w:val="both"/>
        <w:rPr>
          <w:b/>
          <w:color w:val="000000"/>
          <w:sz w:val="24"/>
        </w:rPr>
      </w:pPr>
      <w:r w:rsidRPr="00487D5D">
        <w:rPr>
          <w:b/>
          <w:noProof/>
          <w:color w:val="000000"/>
          <w:sz w:val="24"/>
        </w:rPr>
        <w:t>I.4.</w:t>
      </w:r>
      <w:r w:rsidRPr="00487D5D">
        <w:rPr>
          <w:b/>
          <w:color w:val="000000"/>
          <w:sz w:val="24"/>
        </w:rPr>
        <w:t xml:space="preserve"> </w:t>
      </w:r>
      <w:r w:rsidR="00AC4A58">
        <w:rPr>
          <w:b/>
          <w:color w:val="000000"/>
          <w:sz w:val="24"/>
        </w:rPr>
        <w:t>4</w:t>
      </w:r>
      <w:r w:rsidR="00323AB3">
        <w:rPr>
          <w:b/>
          <w:color w:val="000000"/>
          <w:sz w:val="24"/>
        </w:rPr>
        <w:tab/>
      </w:r>
      <w:r w:rsidRPr="00487D5D">
        <w:rPr>
          <w:b/>
          <w:sz w:val="24"/>
        </w:rPr>
        <w:t>Paiement du solde</w:t>
      </w:r>
    </w:p>
    <w:p w14:paraId="4A114444" w14:textId="77777777" w:rsidR="00487D5D" w:rsidRPr="00487D5D" w:rsidRDefault="00487D5D" w:rsidP="00487D5D">
      <w:pPr>
        <w:jc w:val="both"/>
        <w:rPr>
          <w:sz w:val="24"/>
        </w:rPr>
      </w:pPr>
      <w:r w:rsidRPr="00487D5D">
        <w:rPr>
          <w:sz w:val="24"/>
        </w:rPr>
        <w:t>Le contractant présente une facture pour demander le paiement du solde</w:t>
      </w:r>
      <w:r w:rsidR="00323AB3">
        <w:rPr>
          <w:sz w:val="24"/>
        </w:rPr>
        <w:t xml:space="preserve"> relatif au bon de commande ou au marché subséquent</w:t>
      </w:r>
      <w:r w:rsidRPr="00487D5D">
        <w:rPr>
          <w:sz w:val="24"/>
        </w:rPr>
        <w:t>.</w:t>
      </w:r>
      <w:r w:rsidR="00323AB3">
        <w:rPr>
          <w:sz w:val="24"/>
        </w:rPr>
        <w:t xml:space="preserve"> Expertise France</w:t>
      </w:r>
      <w:r w:rsidR="00323AB3" w:rsidRPr="00487D5D">
        <w:rPr>
          <w:sz w:val="24"/>
        </w:rPr>
        <w:t xml:space="preserve"> effectue le paiement dans les trente</w:t>
      </w:r>
      <w:r w:rsidR="00323AB3">
        <w:rPr>
          <w:sz w:val="24"/>
        </w:rPr>
        <w:t xml:space="preserve"> </w:t>
      </w:r>
      <w:r w:rsidR="00323AB3" w:rsidRPr="00487D5D">
        <w:rPr>
          <w:sz w:val="24"/>
        </w:rPr>
        <w:t>jours suivant la réception de la facture.</w:t>
      </w:r>
    </w:p>
    <w:p w14:paraId="1374CAC2" w14:textId="77777777" w:rsidR="00487D5D" w:rsidRPr="00487D5D" w:rsidRDefault="00487D5D" w:rsidP="00487D5D">
      <w:pPr>
        <w:pStyle w:val="Titre2"/>
      </w:pPr>
      <w:bookmarkStart w:id="19" w:name="_Toc201229430"/>
      <w:bookmarkStart w:id="20" w:name="_Toc201856532"/>
      <w:r w:rsidRPr="00487D5D">
        <w:t>Article I.5 – Compte bancaire</w:t>
      </w:r>
      <w:bookmarkEnd w:id="19"/>
      <w:bookmarkEnd w:id="20"/>
    </w:p>
    <w:p w14:paraId="02933718" w14:textId="77777777" w:rsidR="00487D5D" w:rsidRPr="00487D5D" w:rsidRDefault="00487D5D" w:rsidP="00487D5D">
      <w:pPr>
        <w:jc w:val="both"/>
        <w:rPr>
          <w:sz w:val="24"/>
        </w:rPr>
      </w:pPr>
      <w:r w:rsidRPr="00487D5D">
        <w:rPr>
          <w:sz w:val="24"/>
        </w:rPr>
        <w:t>Les paiements sont effectués sur le compte banca</w:t>
      </w:r>
      <w:r w:rsidR="00323AB3">
        <w:rPr>
          <w:sz w:val="24"/>
        </w:rPr>
        <w:t xml:space="preserve">ire du contractant, libellé en </w:t>
      </w:r>
      <w:r w:rsidRPr="00487D5D">
        <w:rPr>
          <w:sz w:val="24"/>
        </w:rPr>
        <w:t>euros,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4BE8E96E"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4B53330"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799D5F"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2970354" w14:textId="77777777" w:rsidR="00C94CBC" w:rsidRPr="008C6F83" w:rsidRDefault="00C94CBC" w:rsidP="00EA6111">
            <w:pPr>
              <w:rPr>
                <w:rFonts w:eastAsia="Calibri"/>
                <w:sz w:val="22"/>
                <w:szCs w:val="22"/>
              </w:rPr>
            </w:pPr>
            <w:r w:rsidRPr="008C6F83">
              <w:rPr>
                <w:rFonts w:eastAsia="Calibri"/>
                <w:sz w:val="22"/>
                <w:szCs w:val="22"/>
              </w:rPr>
              <w:t>N° Compte/clé</w:t>
            </w:r>
          </w:p>
          <w:p w14:paraId="066781BD" w14:textId="77777777" w:rsidR="00C94CBC" w:rsidRPr="008C6F83" w:rsidRDefault="00C94CBC" w:rsidP="00EA6111">
            <w:pPr>
              <w:rPr>
                <w:rFonts w:eastAsia="Calibri"/>
                <w:sz w:val="22"/>
                <w:szCs w:val="22"/>
              </w:rPr>
            </w:pPr>
          </w:p>
        </w:tc>
      </w:tr>
      <w:tr w:rsidR="00C94CBC" w:rsidRPr="00361126" w14:paraId="377F7E4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4FFC86" w14:textId="77777777"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3497792C" w14:textId="77777777"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32105451" w14:textId="77777777"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311BE48D" w14:textId="77777777"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9"/>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161BB3A4" w14:textId="77777777"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3FC759D1" w14:textId="77777777" w:rsidR="00487D5D" w:rsidRPr="00487D5D" w:rsidRDefault="00487D5D" w:rsidP="00487D5D">
      <w:pPr>
        <w:pStyle w:val="Titre2"/>
      </w:pPr>
      <w:bookmarkStart w:id="21" w:name="_Toc201229431"/>
      <w:bookmarkStart w:id="22" w:name="_Toc201856533"/>
      <w:r w:rsidRPr="00487D5D">
        <w:lastRenderedPageBreak/>
        <w:t>Article I.6 – Modalités de communication et responsable du traitement des données</w:t>
      </w:r>
      <w:bookmarkEnd w:id="21"/>
      <w:bookmarkEnd w:id="22"/>
    </w:p>
    <w:p w14:paraId="5DCD8C74" w14:textId="77777777" w:rsidR="00487D5D" w:rsidRPr="00487D5D" w:rsidRDefault="00487D5D" w:rsidP="00487D5D">
      <w:pPr>
        <w:jc w:val="both"/>
        <w:rPr>
          <w:sz w:val="24"/>
        </w:rPr>
      </w:pPr>
      <w:r w:rsidRPr="00487D5D">
        <w:rPr>
          <w:sz w:val="24"/>
        </w:rPr>
        <w:t xml:space="preserve">Aux fins de l'article II.6, le responsable du traitement des données est </w:t>
      </w:r>
      <w:r w:rsidRPr="006827E4">
        <w:rPr>
          <w:sz w:val="24"/>
          <w:highlight w:val="yellow"/>
        </w:rPr>
        <w:t>[</w:t>
      </w:r>
      <w:r w:rsidRPr="006827E4">
        <w:rPr>
          <w:i/>
          <w:sz w:val="24"/>
          <w:highlight w:val="yellow"/>
        </w:rPr>
        <w:t>nom de l'entité</w:t>
      </w:r>
      <w:r w:rsidRPr="006827E4">
        <w:rPr>
          <w:sz w:val="24"/>
          <w:highlight w:val="yellow"/>
        </w:rPr>
        <w:t>]</w:t>
      </w:r>
      <w:r w:rsidRPr="00487D5D">
        <w:rPr>
          <w:sz w:val="24"/>
        </w:rPr>
        <w:t>.</w:t>
      </w:r>
      <w:r w:rsidR="00CF2CE4">
        <w:rPr>
          <w:sz w:val="24"/>
        </w:rPr>
        <w:t xml:space="preserve"> </w:t>
      </w:r>
      <w:r w:rsidRPr="00487D5D">
        <w:rPr>
          <w:sz w:val="24"/>
        </w:rPr>
        <w:t>Les communications sont envoyées aux adresses suivantes:</w:t>
      </w:r>
    </w:p>
    <w:p w14:paraId="31921CB4" w14:textId="77777777" w:rsidR="00487D5D" w:rsidRPr="001F3321" w:rsidRDefault="00B833C3" w:rsidP="001F3321">
      <w:pPr>
        <w:spacing w:before="0" w:beforeAutospacing="0" w:after="0" w:afterAutospacing="0"/>
        <w:rPr>
          <w:sz w:val="24"/>
        </w:rPr>
      </w:pPr>
      <w:bookmarkStart w:id="23" w:name="_Toc201229432"/>
      <w:r w:rsidRPr="001F3321">
        <w:rPr>
          <w:sz w:val="24"/>
        </w:rPr>
        <w:t>Expertise France</w:t>
      </w:r>
      <w:r w:rsidR="00487D5D" w:rsidRPr="001F3321">
        <w:rPr>
          <w:sz w:val="24"/>
        </w:rPr>
        <w:t>:</w:t>
      </w:r>
      <w:bookmarkEnd w:id="23"/>
    </w:p>
    <w:p w14:paraId="4D63E1B5" w14:textId="77777777" w:rsidR="00FA646F" w:rsidRPr="001F3321" w:rsidRDefault="00FA646F" w:rsidP="001F3321">
      <w:pPr>
        <w:spacing w:before="0" w:beforeAutospacing="0" w:after="0" w:afterAutospacing="0"/>
        <w:rPr>
          <w:sz w:val="24"/>
        </w:rPr>
      </w:pPr>
      <w:bookmarkStart w:id="24" w:name="_Toc201229433"/>
      <w:r w:rsidRPr="001F3321">
        <w:rPr>
          <w:sz w:val="24"/>
        </w:rPr>
        <w:t>Direction des Opérations</w:t>
      </w:r>
      <w:bookmarkEnd w:id="24"/>
    </w:p>
    <w:p w14:paraId="0BD6BF10" w14:textId="77777777" w:rsidR="00487D5D" w:rsidRPr="001F3321" w:rsidRDefault="00FA646F" w:rsidP="001F3321">
      <w:pPr>
        <w:spacing w:before="0" w:beforeAutospacing="0" w:after="0" w:afterAutospacing="0"/>
        <w:rPr>
          <w:sz w:val="24"/>
        </w:rPr>
      </w:pPr>
      <w:bookmarkStart w:id="25" w:name="_Toc201229434"/>
      <w:r w:rsidRPr="001F3321">
        <w:rPr>
          <w:sz w:val="24"/>
        </w:rPr>
        <w:t>Cellule Pilotage et Suivi Opérationnel</w:t>
      </w:r>
      <w:r w:rsidR="002C63E9" w:rsidRPr="001F3321">
        <w:rPr>
          <w:sz w:val="24"/>
        </w:rPr>
        <w:br/>
      </w:r>
      <w:r w:rsidR="00D36270" w:rsidRPr="001F3321">
        <w:rPr>
          <w:sz w:val="24"/>
        </w:rPr>
        <w:t>40, boulevard de Port-</w:t>
      </w:r>
      <w:r w:rsidR="00305009" w:rsidRPr="001F3321">
        <w:rPr>
          <w:sz w:val="24"/>
        </w:rPr>
        <w:t>Royal</w:t>
      </w:r>
      <w:r w:rsidR="002C63E9" w:rsidRPr="001F3321">
        <w:rPr>
          <w:sz w:val="24"/>
        </w:rPr>
        <w:br/>
        <w:t>7500</w:t>
      </w:r>
      <w:r w:rsidR="00305009" w:rsidRPr="001F3321">
        <w:rPr>
          <w:sz w:val="24"/>
        </w:rPr>
        <w:t>5</w:t>
      </w:r>
      <w:r w:rsidR="002C63E9" w:rsidRPr="001F3321">
        <w:rPr>
          <w:sz w:val="24"/>
        </w:rPr>
        <w:t xml:space="preserve"> </w:t>
      </w:r>
      <w:r w:rsidR="003B07ED" w:rsidRPr="001F3321">
        <w:rPr>
          <w:sz w:val="24"/>
        </w:rPr>
        <w:t>Paris - France</w:t>
      </w:r>
      <w:bookmarkEnd w:id="25"/>
    </w:p>
    <w:p w14:paraId="486C8847" w14:textId="77777777" w:rsidR="00487D5D" w:rsidRPr="001F3321" w:rsidRDefault="00487D5D" w:rsidP="001F3321">
      <w:pPr>
        <w:spacing w:before="0" w:beforeAutospacing="0" w:after="0" w:afterAutospacing="0"/>
        <w:rPr>
          <w:sz w:val="24"/>
        </w:rPr>
      </w:pPr>
      <w:bookmarkStart w:id="26" w:name="_Toc201229435"/>
      <w:r w:rsidRPr="001F3321">
        <w:rPr>
          <w:sz w:val="24"/>
        </w:rPr>
        <w:t xml:space="preserve">E-mail: </w:t>
      </w:r>
      <w:r w:rsidR="00FA646F" w:rsidRPr="001F3321">
        <w:rPr>
          <w:sz w:val="24"/>
        </w:rPr>
        <w:t>gregoire.schaeffer@expertisefrance.fr</w:t>
      </w:r>
      <w:bookmarkEnd w:id="26"/>
    </w:p>
    <w:p w14:paraId="6A505BB2" w14:textId="77777777" w:rsidR="001F3321" w:rsidRDefault="001F3321" w:rsidP="001F3321">
      <w:pPr>
        <w:spacing w:before="0" w:beforeAutospacing="0" w:after="0" w:afterAutospacing="0"/>
        <w:rPr>
          <w:sz w:val="24"/>
        </w:rPr>
      </w:pPr>
      <w:bookmarkStart w:id="27" w:name="_Toc201229436"/>
    </w:p>
    <w:p w14:paraId="06B4DFDE" w14:textId="4BB1427C" w:rsidR="00487D5D" w:rsidRPr="001F3321" w:rsidRDefault="00487D5D" w:rsidP="001F3321">
      <w:pPr>
        <w:spacing w:before="0" w:beforeAutospacing="0" w:after="0" w:afterAutospacing="0"/>
        <w:rPr>
          <w:sz w:val="24"/>
        </w:rPr>
      </w:pPr>
      <w:r w:rsidRPr="001F3321">
        <w:rPr>
          <w:sz w:val="24"/>
        </w:rPr>
        <w:t>Contractant:</w:t>
      </w:r>
      <w:bookmarkEnd w:id="27"/>
    </w:p>
    <w:p w14:paraId="63FCF37B" w14:textId="77777777" w:rsidR="00487D5D" w:rsidRPr="00904B64" w:rsidRDefault="00487D5D" w:rsidP="00904B64">
      <w:pPr>
        <w:spacing w:before="0" w:beforeAutospacing="0"/>
        <w:rPr>
          <w:b/>
          <w:sz w:val="24"/>
        </w:rPr>
      </w:pPr>
      <w:bookmarkStart w:id="28" w:name="_Toc201229437"/>
      <w:r w:rsidRPr="00904B64">
        <w:rPr>
          <w:sz w:val="24"/>
        </w:rPr>
        <w:t>[</w:t>
      </w:r>
      <w:r w:rsidRPr="00904B64">
        <w:rPr>
          <w:sz w:val="24"/>
          <w:highlight w:val="yellow"/>
        </w:rPr>
        <w:t>Dénomination complète</w:t>
      </w:r>
      <w:r w:rsidRPr="00904B64">
        <w:rPr>
          <w:sz w:val="24"/>
        </w:rPr>
        <w:t>]</w:t>
      </w:r>
      <w:r w:rsidR="002F6999" w:rsidRPr="00904B64">
        <w:rPr>
          <w:sz w:val="24"/>
        </w:rPr>
        <w:br/>
      </w:r>
      <w:r w:rsidRPr="00904B64">
        <w:rPr>
          <w:sz w:val="24"/>
        </w:rPr>
        <w:t>[</w:t>
      </w:r>
      <w:r w:rsidRPr="00904B64">
        <w:rPr>
          <w:sz w:val="24"/>
          <w:highlight w:val="yellow"/>
        </w:rPr>
        <w:t>Fonction</w:t>
      </w:r>
      <w:r w:rsidRPr="00904B64">
        <w:rPr>
          <w:sz w:val="24"/>
        </w:rPr>
        <w:t>]</w:t>
      </w:r>
      <w:r w:rsidR="002F6999" w:rsidRPr="00904B64">
        <w:rPr>
          <w:sz w:val="24"/>
        </w:rPr>
        <w:br/>
      </w:r>
      <w:r w:rsidRPr="00904B64">
        <w:rPr>
          <w:sz w:val="24"/>
        </w:rPr>
        <w:t>[</w:t>
      </w:r>
      <w:r w:rsidRPr="00904B64">
        <w:rPr>
          <w:sz w:val="24"/>
          <w:highlight w:val="yellow"/>
        </w:rPr>
        <w:t>Dénomination sociale</w:t>
      </w:r>
      <w:r w:rsidRPr="00904B64">
        <w:rPr>
          <w:sz w:val="24"/>
        </w:rPr>
        <w:t>]</w:t>
      </w:r>
      <w:r w:rsidR="002F6999" w:rsidRPr="00904B64">
        <w:rPr>
          <w:sz w:val="24"/>
        </w:rPr>
        <w:br/>
      </w:r>
      <w:r w:rsidRPr="00904B64">
        <w:rPr>
          <w:sz w:val="24"/>
        </w:rPr>
        <w:t>[</w:t>
      </w:r>
      <w:r w:rsidRPr="00904B64">
        <w:rPr>
          <w:sz w:val="24"/>
          <w:highlight w:val="yellow"/>
        </w:rPr>
        <w:t>Adresse officielle complète</w:t>
      </w:r>
      <w:r w:rsidRPr="00904B64">
        <w:rPr>
          <w:sz w:val="24"/>
        </w:rPr>
        <w:t>]</w:t>
      </w:r>
      <w:bookmarkEnd w:id="28"/>
    </w:p>
    <w:p w14:paraId="7A15997C" w14:textId="062961C6" w:rsidR="00487D5D" w:rsidRPr="00904B64" w:rsidRDefault="00487D5D" w:rsidP="00904B64">
      <w:pPr>
        <w:spacing w:before="0" w:beforeAutospacing="0"/>
        <w:rPr>
          <w:sz w:val="24"/>
        </w:rPr>
      </w:pPr>
      <w:bookmarkStart w:id="29" w:name="_Toc201229438"/>
      <w:r w:rsidRPr="00904B64">
        <w:rPr>
          <w:sz w:val="24"/>
        </w:rPr>
        <w:t>E-mail:</w:t>
      </w:r>
      <w:r w:rsidRPr="00904B64">
        <w:rPr>
          <w:b/>
          <w:sz w:val="24"/>
        </w:rPr>
        <w:t xml:space="preserve"> </w:t>
      </w:r>
      <w:r w:rsidRPr="00904B64">
        <w:rPr>
          <w:sz w:val="24"/>
        </w:rPr>
        <w:t>[</w:t>
      </w:r>
      <w:r w:rsidRPr="00904B64">
        <w:rPr>
          <w:sz w:val="24"/>
          <w:highlight w:val="yellow"/>
        </w:rPr>
        <w:t>compléter</w:t>
      </w:r>
      <w:r w:rsidRPr="00904B64">
        <w:rPr>
          <w:sz w:val="24"/>
        </w:rPr>
        <w:t>]</w:t>
      </w:r>
      <w:bookmarkEnd w:id="29"/>
    </w:p>
    <w:p w14:paraId="7C98AEFC" w14:textId="77777777" w:rsidR="001F3321" w:rsidRPr="001F3321" w:rsidRDefault="001F3321" w:rsidP="001F3321">
      <w:pPr>
        <w:spacing w:before="0" w:beforeAutospacing="0" w:after="0" w:afterAutospacing="0"/>
        <w:rPr>
          <w:sz w:val="24"/>
        </w:rPr>
      </w:pPr>
    </w:p>
    <w:p w14:paraId="29AE2827" w14:textId="77777777" w:rsidR="00487D5D" w:rsidRPr="00487D5D" w:rsidRDefault="00487D5D" w:rsidP="00487D5D">
      <w:pPr>
        <w:pStyle w:val="Titre2"/>
      </w:pPr>
      <w:bookmarkStart w:id="30" w:name="_Toc201229439"/>
      <w:bookmarkStart w:id="31" w:name="_Toc201856534"/>
      <w:r w:rsidRPr="00487D5D">
        <w:t>Article I.7 – Loi applicable et règlement des litiges</w:t>
      </w:r>
      <w:bookmarkEnd w:id="30"/>
      <w:bookmarkEnd w:id="31"/>
    </w:p>
    <w:p w14:paraId="19472E9F" w14:textId="77777777"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5AD4440E" w14:textId="61DC4845"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C40D46"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1C43B311" w14:textId="77777777" w:rsidR="00353BD9" w:rsidRPr="00353BD9" w:rsidRDefault="00353BD9" w:rsidP="00353BD9">
      <w:pPr>
        <w:pStyle w:val="Titre2"/>
      </w:pPr>
      <w:bookmarkStart w:id="32" w:name="_Toc201229440"/>
      <w:bookmarkStart w:id="33" w:name="_Toc201856535"/>
      <w:r w:rsidRPr="00353BD9">
        <w:t>Article I.8</w:t>
      </w:r>
      <w:r w:rsidRPr="00353BD9">
        <w:rPr>
          <w:vertAlign w:val="superscript"/>
        </w:rPr>
        <w:t xml:space="preserve"> </w:t>
      </w:r>
      <w:r w:rsidRPr="00353BD9">
        <w:t>- Exploitation des résultats du CC</w:t>
      </w:r>
      <w:bookmarkEnd w:id="32"/>
      <w:bookmarkEnd w:id="33"/>
    </w:p>
    <w:p w14:paraId="6C394ED1" w14:textId="77777777" w:rsidR="00353BD9" w:rsidRPr="00353BD9" w:rsidRDefault="00353BD9" w:rsidP="00437EE9">
      <w:pPr>
        <w:jc w:val="both"/>
        <w:rPr>
          <w:b/>
          <w:noProof/>
          <w:color w:val="000000"/>
          <w:sz w:val="24"/>
        </w:rPr>
      </w:pPr>
      <w:r w:rsidRPr="00353BD9">
        <w:rPr>
          <w:b/>
          <w:noProof/>
          <w:color w:val="000000"/>
          <w:sz w:val="24"/>
        </w:rPr>
        <w:t>I.8.1 Modes d'exploitation</w:t>
      </w:r>
    </w:p>
    <w:p w14:paraId="6D91983E" w14:textId="77777777" w:rsidR="00353BD9" w:rsidRPr="00353BD9" w:rsidRDefault="00CB2123" w:rsidP="00353BD9">
      <w:pPr>
        <w:jc w:val="both"/>
        <w:rPr>
          <w:sz w:val="24"/>
        </w:rPr>
      </w:pPr>
      <w:r>
        <w:rPr>
          <w:sz w:val="24"/>
        </w:rPr>
        <w:t>Expertise France</w:t>
      </w:r>
      <w:r w:rsidR="0017385C">
        <w:rPr>
          <w:sz w:val="24"/>
        </w:rPr>
        <w:t xml:space="preserve"> </w:t>
      </w:r>
      <w:r w:rsidR="00353BD9" w:rsidRPr="00353BD9">
        <w:rPr>
          <w:sz w:val="24"/>
        </w:rPr>
        <w:t>acquiert la propriété des résultats définis dans le cahier des charges (annexe I)</w:t>
      </w:r>
      <w:r w:rsidR="0017385C">
        <w:rPr>
          <w:sz w:val="24"/>
        </w:rPr>
        <w:t xml:space="preserve"> et peut les céder librement ou les utiliser </w:t>
      </w:r>
      <w:r w:rsidR="00353BD9" w:rsidRPr="00353BD9">
        <w:rPr>
          <w:sz w:val="24"/>
        </w:rPr>
        <w:t xml:space="preserve">aux fins </w:t>
      </w:r>
      <w:r w:rsidR="0017385C">
        <w:rPr>
          <w:sz w:val="24"/>
        </w:rPr>
        <w:t>définies à l’article II.10.2.</w:t>
      </w:r>
      <w:r w:rsidR="00353BD9" w:rsidRPr="00353BD9">
        <w:rPr>
          <w:sz w:val="24"/>
        </w:rPr>
        <w:t xml:space="preserve"> </w:t>
      </w:r>
    </w:p>
    <w:p w14:paraId="058A6728" w14:textId="77777777" w:rsidR="00353BD9" w:rsidRPr="00353BD9" w:rsidRDefault="00353BD9" w:rsidP="00353BD9">
      <w:pPr>
        <w:jc w:val="both"/>
        <w:rPr>
          <w:b/>
          <w:sz w:val="24"/>
        </w:rPr>
      </w:pPr>
      <w:r w:rsidRPr="00353BD9">
        <w:rPr>
          <w:b/>
          <w:sz w:val="24"/>
        </w:rPr>
        <w:t>I.8.2 Droits préexistants et transfert de droits</w:t>
      </w:r>
    </w:p>
    <w:p w14:paraId="29A41AE9" w14:textId="77777777" w:rsidR="00353BD9" w:rsidRPr="00353BD9" w:rsidRDefault="00353BD9" w:rsidP="00353BD9">
      <w:pPr>
        <w:jc w:val="both"/>
        <w:rPr>
          <w:sz w:val="24"/>
        </w:rPr>
      </w:pPr>
      <w:r w:rsidRPr="0066564D">
        <w:rPr>
          <w:sz w:val="24"/>
        </w:rPr>
        <w:t>Tous les droits préexistants sont</w:t>
      </w:r>
      <w:r w:rsidR="0088435C" w:rsidRPr="0066564D">
        <w:rPr>
          <w:sz w:val="24"/>
        </w:rPr>
        <w:t xml:space="preserve"> </w:t>
      </w:r>
      <w:r w:rsidRPr="0066564D">
        <w:rPr>
          <w:sz w:val="24"/>
        </w:rPr>
        <w:t xml:space="preserve">pleinement et irrévocablement acquis par </w:t>
      </w:r>
      <w:r w:rsidR="007E69DA" w:rsidRPr="0066564D">
        <w:rPr>
          <w:sz w:val="24"/>
        </w:rPr>
        <w:t xml:space="preserve">Expertise France </w:t>
      </w:r>
      <w:r w:rsidRPr="0066564D">
        <w:rPr>
          <w:sz w:val="24"/>
        </w:rPr>
        <w:t>comme prévu à l'article II.10.2 et par d</w:t>
      </w:r>
      <w:r w:rsidR="0066564D" w:rsidRPr="0066564D">
        <w:rPr>
          <w:sz w:val="24"/>
        </w:rPr>
        <w:t>érogation à l'article II.10.3.</w:t>
      </w:r>
    </w:p>
    <w:p w14:paraId="17A92B06" w14:textId="77777777" w:rsidR="00353BD9" w:rsidRDefault="00353BD9" w:rsidP="00353BD9">
      <w:pPr>
        <w:jc w:val="both"/>
        <w:rPr>
          <w:sz w:val="24"/>
        </w:rPr>
      </w:pPr>
      <w:r w:rsidRPr="00353BD9">
        <w:rPr>
          <w:sz w:val="24"/>
        </w:rPr>
        <w:lastRenderedPageBreak/>
        <w:t xml:space="preserve">Tous les droits préexistants inclus dans les résultats et directement liés aux utilisations prévues à l'article I.8.1 sont pleinement et irrévocablement acquis par </w:t>
      </w:r>
      <w:r w:rsidR="007E69DA">
        <w:rPr>
          <w:sz w:val="24"/>
        </w:rPr>
        <w:t>Expertise France</w:t>
      </w:r>
      <w:r w:rsidRPr="00353BD9">
        <w:rPr>
          <w:sz w:val="24"/>
        </w:rPr>
        <w:t>, comme prévu à l'article II.10.2 et par dérogation à l'article II.10.3.</w:t>
      </w:r>
    </w:p>
    <w:p w14:paraId="4FE43881" w14:textId="77777777" w:rsidR="00BC074F" w:rsidRPr="00353BD9" w:rsidRDefault="00BC074F" w:rsidP="00353BD9">
      <w:pPr>
        <w:jc w:val="both"/>
      </w:pPr>
    </w:p>
    <w:p w14:paraId="015896F7" w14:textId="77777777" w:rsidR="00353BD9" w:rsidRPr="00353BD9" w:rsidRDefault="00353BD9" w:rsidP="00353BD9">
      <w:pPr>
        <w:pStyle w:val="Titre2"/>
      </w:pPr>
      <w:bookmarkStart w:id="34" w:name="_Toc201229441"/>
      <w:bookmarkStart w:id="35" w:name="_Toc201856536"/>
      <w:r w:rsidRPr="00353BD9">
        <w:t>Article I.9 – Résiliation par les parties</w:t>
      </w:r>
      <w:bookmarkEnd w:id="34"/>
      <w:bookmarkEnd w:id="35"/>
    </w:p>
    <w:p w14:paraId="3EA43D00" w14:textId="77777777" w:rsidR="00353BD9" w:rsidRPr="00353BD9" w:rsidRDefault="00803261" w:rsidP="00353BD9">
      <w:pPr>
        <w:jc w:val="both"/>
        <w:rPr>
          <w:b/>
          <w:sz w:val="28"/>
        </w:rPr>
      </w:pPr>
      <w:r>
        <w:rPr>
          <w:sz w:val="24"/>
        </w:rPr>
        <w:t>Les modalités de résiliation du CC sont définies dans les conditions générales du présent contrat.</w:t>
      </w:r>
    </w:p>
    <w:p w14:paraId="3DC4F67A" w14:textId="77777777" w:rsidR="00353BD9" w:rsidRPr="00353BD9" w:rsidRDefault="00353BD9" w:rsidP="00353BD9">
      <w:pPr>
        <w:pStyle w:val="Titre2"/>
      </w:pPr>
      <w:bookmarkStart w:id="36" w:name="_Toc201229442"/>
      <w:bookmarkStart w:id="37" w:name="_Toc201856537"/>
      <w:r w:rsidRPr="00353BD9">
        <w:t>Article I.1</w:t>
      </w:r>
      <w:r w:rsidR="00266310">
        <w:t>0</w:t>
      </w:r>
      <w:r w:rsidRPr="00353BD9">
        <w:t xml:space="preserve"> – Autres conditions</w:t>
      </w:r>
      <w:r w:rsidR="0066564D">
        <w:t xml:space="preserve"> particulières</w:t>
      </w:r>
      <w:bookmarkEnd w:id="36"/>
      <w:bookmarkEnd w:id="37"/>
    </w:p>
    <w:p w14:paraId="48308494" w14:textId="77777777" w:rsidR="00745209" w:rsidRPr="00E54414" w:rsidRDefault="00745209" w:rsidP="00745209">
      <w:pPr>
        <w:jc w:val="both"/>
        <w:outlineLvl w:val="0"/>
        <w:rPr>
          <w:b/>
          <w:bCs/>
          <w:sz w:val="24"/>
        </w:rPr>
      </w:pPr>
      <w:bookmarkStart w:id="38" w:name="_Toc201229443"/>
      <w:bookmarkStart w:id="39" w:name="_Toc201856538"/>
      <w:r w:rsidRPr="00E54414">
        <w:rPr>
          <w:b/>
          <w:bCs/>
          <w:sz w:val="24"/>
        </w:rPr>
        <w:t>I.1</w:t>
      </w:r>
      <w:r>
        <w:rPr>
          <w:b/>
          <w:bCs/>
          <w:sz w:val="24"/>
        </w:rPr>
        <w:t>0</w:t>
      </w:r>
      <w:r w:rsidRPr="00E54414">
        <w:rPr>
          <w:b/>
          <w:bCs/>
          <w:sz w:val="24"/>
        </w:rPr>
        <w:t xml:space="preserve">.1 </w:t>
      </w:r>
      <w:r>
        <w:rPr>
          <w:b/>
          <w:bCs/>
          <w:sz w:val="24"/>
        </w:rPr>
        <w:t>Clause de réexamen</w:t>
      </w:r>
      <w:bookmarkEnd w:id="38"/>
      <w:bookmarkEnd w:id="39"/>
    </w:p>
    <w:p w14:paraId="085B0EF1" w14:textId="77777777"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00BC074F">
        <w:rPr>
          <w:sz w:val="24"/>
        </w:rPr>
        <w:t>dans les conditions suivantes :</w:t>
      </w:r>
    </w:p>
    <w:p w14:paraId="2858D99E" w14:textId="77777777" w:rsidR="00745209" w:rsidRPr="0066564D" w:rsidRDefault="00745209" w:rsidP="00B900C6">
      <w:pPr>
        <w:pStyle w:val="Paragraphedeliste"/>
        <w:numPr>
          <w:ilvl w:val="0"/>
          <w:numId w:val="7"/>
        </w:numPr>
        <w:jc w:val="both"/>
        <w:rPr>
          <w:sz w:val="24"/>
        </w:rPr>
      </w:pPr>
      <w:r w:rsidRPr="0066564D">
        <w:rPr>
          <w:sz w:val="24"/>
        </w:rPr>
        <w:t xml:space="preserve">La substitution d’un nouveau bordereau des prix en cas de suppression, de modifications ou d’ajouts de références du bordereau </w:t>
      </w:r>
      <w:r w:rsidR="0066564D" w:rsidRPr="0066564D">
        <w:rPr>
          <w:sz w:val="24"/>
        </w:rPr>
        <w:t>des prix initiaux</w:t>
      </w:r>
      <w:r w:rsidRPr="0066564D">
        <w:rPr>
          <w:sz w:val="24"/>
        </w:rPr>
        <w:t xml:space="preserve"> sous réserve de l’acceptation par </w:t>
      </w:r>
      <w:r w:rsidR="00125934" w:rsidRPr="0066564D">
        <w:rPr>
          <w:sz w:val="24"/>
        </w:rPr>
        <w:t>Expertise France ;</w:t>
      </w:r>
    </w:p>
    <w:p w14:paraId="73A1405C" w14:textId="77777777" w:rsidR="00997D5F" w:rsidRPr="00724DEA" w:rsidRDefault="00745209" w:rsidP="00B900C6">
      <w:pPr>
        <w:pStyle w:val="Paragraphedeliste"/>
        <w:numPr>
          <w:ilvl w:val="0"/>
          <w:numId w:val="7"/>
        </w:numPr>
        <w:jc w:val="both"/>
        <w:rPr>
          <w:sz w:val="24"/>
        </w:rPr>
      </w:pPr>
      <w:r w:rsidRPr="0066564D">
        <w:rPr>
          <w:sz w:val="24"/>
        </w:rPr>
        <w:t>La mise à jour d’</w:t>
      </w:r>
      <w:r w:rsidR="0066564D">
        <w:rPr>
          <w:sz w:val="24"/>
        </w:rPr>
        <w:t>annexes au cahier des charges, notamment les termes de référence des contrats bailleurs concernant la conduite des audits.</w:t>
      </w:r>
    </w:p>
    <w:p w14:paraId="0C2F11F2" w14:textId="77777777" w:rsidR="00997D5F" w:rsidRPr="00724DEA" w:rsidRDefault="00997D5F" w:rsidP="00B900C6">
      <w:pPr>
        <w:pStyle w:val="Paragraphedeliste"/>
        <w:numPr>
          <w:ilvl w:val="0"/>
          <w:numId w:val="7"/>
        </w:numPr>
        <w:jc w:val="both"/>
        <w:rPr>
          <w:sz w:val="24"/>
        </w:rPr>
      </w:pPr>
      <w:r w:rsidRPr="00997D5F">
        <w:rPr>
          <w:sz w:val="24"/>
        </w:rPr>
        <w:t>La modification des délais d’exécution pour tenir compte de circonstances imprévues ou d’un réaménagement du calendrier des projets, à condition que cela ne bouleverse pas l’économie générale du contrat ;</w:t>
      </w:r>
    </w:p>
    <w:p w14:paraId="04D02298" w14:textId="77777777" w:rsidR="00997D5F" w:rsidRPr="00724DEA" w:rsidRDefault="00997D5F" w:rsidP="00B900C6">
      <w:pPr>
        <w:pStyle w:val="Paragraphedeliste"/>
        <w:numPr>
          <w:ilvl w:val="0"/>
          <w:numId w:val="7"/>
        </w:numPr>
        <w:jc w:val="both"/>
        <w:rPr>
          <w:sz w:val="24"/>
        </w:rPr>
      </w:pPr>
      <w:r w:rsidRPr="00997D5F">
        <w:rPr>
          <w:sz w:val="24"/>
        </w:rPr>
        <w:t>L’ajustement du périmètre des prestations, en cas de besoin nouveau, de suppression partielle de missions ou de fusion de livrables, dès lors que cette modification reste dans les limites prévues par les articles R.2194-5 et R.2194-6 ;</w:t>
      </w:r>
    </w:p>
    <w:p w14:paraId="3FCBE51B" w14:textId="77777777" w:rsidR="00997D5F" w:rsidRPr="00724DEA" w:rsidRDefault="00997D5F" w:rsidP="00B900C6">
      <w:pPr>
        <w:pStyle w:val="Paragraphedeliste"/>
        <w:numPr>
          <w:ilvl w:val="0"/>
          <w:numId w:val="7"/>
        </w:numPr>
        <w:jc w:val="both"/>
        <w:rPr>
          <w:sz w:val="24"/>
        </w:rPr>
      </w:pPr>
      <w:r w:rsidRPr="00997D5F">
        <w:rPr>
          <w:sz w:val="24"/>
        </w:rPr>
        <w:t>L’ajout ou la suppression de lieux d’exécution, notamment pour adapter la mise en œuvre aux zones d’intervention des bailleurs (pays, régions) sans affecter la nature des prestations ;</w:t>
      </w:r>
    </w:p>
    <w:p w14:paraId="0C210604" w14:textId="77777777" w:rsidR="00997D5F" w:rsidRPr="00724DEA" w:rsidRDefault="00997D5F" w:rsidP="00B900C6">
      <w:pPr>
        <w:pStyle w:val="Paragraphedeliste"/>
        <w:numPr>
          <w:ilvl w:val="0"/>
          <w:numId w:val="7"/>
        </w:numPr>
        <w:jc w:val="both"/>
        <w:rPr>
          <w:sz w:val="24"/>
        </w:rPr>
      </w:pPr>
      <w:r w:rsidRPr="00997D5F">
        <w:rPr>
          <w:sz w:val="24"/>
        </w:rPr>
        <w:t>L’actualisation des exigences documentaires ou réglementaires imposées par les bailleurs, y compris en matière de reporting, de contrôle qualité ou de procédures d’audit interne ;</w:t>
      </w:r>
    </w:p>
    <w:p w14:paraId="69F08CAF" w14:textId="77777777" w:rsidR="00997D5F" w:rsidRDefault="00997D5F" w:rsidP="00B900C6">
      <w:pPr>
        <w:pStyle w:val="Paragraphedeliste"/>
        <w:numPr>
          <w:ilvl w:val="0"/>
          <w:numId w:val="7"/>
        </w:numPr>
        <w:jc w:val="both"/>
        <w:rPr>
          <w:sz w:val="24"/>
        </w:rPr>
      </w:pPr>
      <w:r w:rsidRPr="00997D5F">
        <w:rPr>
          <w:sz w:val="24"/>
        </w:rPr>
        <w:t>L’ajustement des modalités de transmission, de validation ou d’acceptation des livrables, en fonction de nouveaux outils numériques ou d’exigences de sécurité renforcées.</w:t>
      </w:r>
    </w:p>
    <w:p w14:paraId="4C520F7B" w14:textId="77777777" w:rsidR="0066564D" w:rsidRDefault="0066564D" w:rsidP="0066564D">
      <w:pPr>
        <w:pStyle w:val="Paragraphedeliste"/>
        <w:jc w:val="both"/>
        <w:rPr>
          <w:sz w:val="24"/>
        </w:rPr>
      </w:pPr>
    </w:p>
    <w:p w14:paraId="0328CFD5" w14:textId="77777777" w:rsidR="00745209" w:rsidRDefault="00997D5F" w:rsidP="00745209">
      <w:pPr>
        <w:jc w:val="both"/>
        <w:rPr>
          <w:sz w:val="24"/>
        </w:rPr>
      </w:pPr>
      <w:r w:rsidRPr="00997D5F">
        <w:rPr>
          <w:sz w:val="24"/>
        </w:rPr>
        <w:t xml:space="preserve">Ces modifications ne doivent </w:t>
      </w:r>
      <w:r w:rsidRPr="00724DEA">
        <w:rPr>
          <w:bCs/>
          <w:sz w:val="24"/>
        </w:rPr>
        <w:t>pas altérer l'objet global du contrat</w:t>
      </w:r>
      <w:r w:rsidRPr="00997D5F">
        <w:rPr>
          <w:sz w:val="24"/>
        </w:rPr>
        <w:t>, ni conduire à des changements substantiels au sens du Code de la commande publique</w:t>
      </w:r>
      <w:r>
        <w:rPr>
          <w:sz w:val="24"/>
        </w:rPr>
        <w:t xml:space="preserve">. Elles </w:t>
      </w:r>
      <w:r w:rsidR="00745209" w:rsidRPr="00745209">
        <w:rPr>
          <w:sz w:val="24"/>
        </w:rPr>
        <w:t>s</w:t>
      </w:r>
      <w:r w:rsidR="0066564D">
        <w:rPr>
          <w:sz w:val="24"/>
        </w:rPr>
        <w:t>ont notifiées au contractant par la conclusion d’un avenant.</w:t>
      </w:r>
    </w:p>
    <w:p w14:paraId="4FB9D24E" w14:textId="77777777" w:rsidR="00550430" w:rsidRPr="00724DEA" w:rsidRDefault="00764295" w:rsidP="00724DEA">
      <w:pPr>
        <w:jc w:val="both"/>
        <w:outlineLvl w:val="0"/>
        <w:rPr>
          <w:b/>
          <w:bCs/>
          <w:sz w:val="24"/>
        </w:rPr>
      </w:pPr>
      <w:bookmarkStart w:id="40" w:name="_Toc201229444"/>
      <w:bookmarkStart w:id="41" w:name="_Toc201856539"/>
      <w:r w:rsidRPr="00764295">
        <w:rPr>
          <w:b/>
          <w:bCs/>
          <w:sz w:val="24"/>
        </w:rPr>
        <w:lastRenderedPageBreak/>
        <w:t xml:space="preserve">I.10.2 </w:t>
      </w:r>
      <w:r>
        <w:rPr>
          <w:b/>
          <w:bCs/>
          <w:sz w:val="24"/>
        </w:rPr>
        <w:t>Engagement règlementaires</w:t>
      </w:r>
      <w:bookmarkEnd w:id="40"/>
      <w:bookmarkEnd w:id="41"/>
    </w:p>
    <w:p w14:paraId="58211D55" w14:textId="0BF01335" w:rsidR="000F2B78" w:rsidRPr="00724DEA" w:rsidRDefault="00550430" w:rsidP="0078621C">
      <w:pPr>
        <w:jc w:val="both"/>
        <w:rPr>
          <w:sz w:val="24"/>
        </w:rPr>
      </w:pPr>
      <w:r w:rsidRPr="00724DEA">
        <w:rPr>
          <w:sz w:val="24"/>
        </w:rPr>
        <w:t>L</w:t>
      </w:r>
      <w:r w:rsidR="00764295" w:rsidRPr="00724DEA">
        <w:rPr>
          <w:sz w:val="24"/>
        </w:rPr>
        <w:t>e contractant</w:t>
      </w:r>
      <w:r w:rsidRPr="00724DEA">
        <w:rPr>
          <w:sz w:val="24"/>
        </w:rPr>
        <w:t xml:space="preserve"> s’engage à respecter toutes les règles, lois et réglementations applicables dans le pays d’intervention en matière de sécurité et à prendre les mesures qui lui incombent pour assurer sa sécurité dont il est seul responsable. Expertise France n’est pas responsable de sa sécurité, ni de celle des personnes physiques ou du personnel des personnes morales auxquelles l’Auditeur confierait ou déléguerait, de quelque manière que ce soit, tout ou partie de la réalisation de la prestation. L’Auditeur est seul responsable de la décision d’annuler ou de maintenir des déplacements envisagés, au regard des conseils et informations relatives aux risques sécuritaires du pays dont il aura eu connaissance. </w:t>
      </w:r>
    </w:p>
    <w:p w14:paraId="0DB4932C" w14:textId="77777777" w:rsidR="00145A42" w:rsidRPr="00145A42" w:rsidRDefault="00764295" w:rsidP="00724DEA">
      <w:pPr>
        <w:jc w:val="both"/>
        <w:outlineLvl w:val="0"/>
        <w:rPr>
          <w:b/>
          <w:bCs/>
          <w:sz w:val="24"/>
        </w:rPr>
      </w:pPr>
      <w:bookmarkStart w:id="42" w:name="_Toc201229445"/>
      <w:bookmarkStart w:id="43" w:name="_Toc201856540"/>
      <w:r w:rsidRPr="00764295">
        <w:rPr>
          <w:b/>
          <w:bCs/>
          <w:sz w:val="24"/>
        </w:rPr>
        <w:t>I.10.</w:t>
      </w:r>
      <w:r>
        <w:rPr>
          <w:b/>
          <w:bCs/>
          <w:sz w:val="24"/>
        </w:rPr>
        <w:t>3</w:t>
      </w:r>
      <w:r w:rsidRPr="00764295">
        <w:rPr>
          <w:b/>
          <w:bCs/>
          <w:sz w:val="24"/>
        </w:rPr>
        <w:t xml:space="preserve"> </w:t>
      </w:r>
      <w:r>
        <w:rPr>
          <w:b/>
          <w:bCs/>
          <w:sz w:val="24"/>
        </w:rPr>
        <w:t>Engagement d’exécution sociale</w:t>
      </w:r>
      <w:bookmarkEnd w:id="42"/>
      <w:bookmarkEnd w:id="43"/>
      <w:r>
        <w:rPr>
          <w:b/>
          <w:bCs/>
          <w:sz w:val="24"/>
        </w:rPr>
        <w:t xml:space="preserve"> </w:t>
      </w:r>
    </w:p>
    <w:p w14:paraId="637EC664" w14:textId="77777777" w:rsidR="00145A42" w:rsidRPr="00764295" w:rsidRDefault="00145A42" w:rsidP="00145A42">
      <w:pPr>
        <w:jc w:val="both"/>
        <w:rPr>
          <w:sz w:val="24"/>
        </w:rPr>
      </w:pPr>
      <w:r w:rsidRPr="00B60964">
        <w:rPr>
          <w:sz w:val="24"/>
        </w:rPr>
        <w:t>Le titulaire du marché s’engage, pendant toute la durée d’exécution du contrat, à mettre en œuvre des actions concrètes en faveur de la promotion de l’égalité entre les femmes et les hommes ainsi que de la lutte contre les discriminations.</w:t>
      </w:r>
      <w:r w:rsidR="002E7B6C" w:rsidRPr="00764295">
        <w:rPr>
          <w:sz w:val="24"/>
        </w:rPr>
        <w:t xml:space="preserve"> </w:t>
      </w:r>
      <w:r w:rsidRPr="00764295">
        <w:rPr>
          <w:sz w:val="24"/>
        </w:rPr>
        <w:t>Ces actions pourront notamment prendre la forme de :</w:t>
      </w:r>
    </w:p>
    <w:p w14:paraId="118DC824" w14:textId="77777777" w:rsidR="00145A42" w:rsidRPr="006D2F01" w:rsidRDefault="00145A42" w:rsidP="00B900C6">
      <w:pPr>
        <w:numPr>
          <w:ilvl w:val="0"/>
          <w:numId w:val="16"/>
        </w:numPr>
        <w:jc w:val="both"/>
        <w:rPr>
          <w:sz w:val="24"/>
        </w:rPr>
      </w:pPr>
      <w:r w:rsidRPr="006D2F01">
        <w:rPr>
          <w:sz w:val="24"/>
        </w:rPr>
        <w:t>campagnes de sensibilisation auprès des personnels intervenant dans le cadre du marché ;</w:t>
      </w:r>
    </w:p>
    <w:p w14:paraId="0743D071" w14:textId="77777777" w:rsidR="00145A42" w:rsidRPr="006D2F01" w:rsidRDefault="00145A42" w:rsidP="00B900C6">
      <w:pPr>
        <w:numPr>
          <w:ilvl w:val="0"/>
          <w:numId w:val="16"/>
        </w:numPr>
        <w:jc w:val="both"/>
        <w:rPr>
          <w:sz w:val="24"/>
        </w:rPr>
      </w:pPr>
      <w:r w:rsidRPr="006D2F01">
        <w:rPr>
          <w:sz w:val="24"/>
        </w:rPr>
        <w:t>mise en place de procédures internes de signalement et de traitement des situations discriminatoires ;</w:t>
      </w:r>
    </w:p>
    <w:p w14:paraId="4FA03DD7" w14:textId="77777777" w:rsidR="00145A42" w:rsidRPr="006D2F01" w:rsidRDefault="00145A42" w:rsidP="00B900C6">
      <w:pPr>
        <w:numPr>
          <w:ilvl w:val="0"/>
          <w:numId w:val="16"/>
        </w:numPr>
        <w:jc w:val="both"/>
        <w:rPr>
          <w:sz w:val="24"/>
        </w:rPr>
      </w:pPr>
      <w:r w:rsidRPr="006D2F01">
        <w:rPr>
          <w:sz w:val="24"/>
        </w:rPr>
        <w:t>valorisation de la mixité dans les équipes mobilisées sur le marché ;</w:t>
      </w:r>
    </w:p>
    <w:p w14:paraId="51714330" w14:textId="77777777" w:rsidR="00145A42" w:rsidRPr="00724DEA" w:rsidRDefault="00145A42" w:rsidP="00B900C6">
      <w:pPr>
        <w:numPr>
          <w:ilvl w:val="0"/>
          <w:numId w:val="16"/>
        </w:numPr>
        <w:jc w:val="both"/>
        <w:rPr>
          <w:sz w:val="24"/>
        </w:rPr>
      </w:pPr>
      <w:r w:rsidRPr="00724DEA">
        <w:rPr>
          <w:sz w:val="24"/>
        </w:rPr>
        <w:t>recrutement inclusif ou insertion professionnelle de personnes issues de publics éloignés de l’emploi.</w:t>
      </w:r>
    </w:p>
    <w:p w14:paraId="012B595D" w14:textId="77777777" w:rsidR="00145A42" w:rsidRPr="00145A42" w:rsidRDefault="00145A42" w:rsidP="00145A42">
      <w:pPr>
        <w:jc w:val="both"/>
        <w:rPr>
          <w:sz w:val="24"/>
        </w:rPr>
      </w:pPr>
      <w:r w:rsidRPr="00724DEA">
        <w:rPr>
          <w:sz w:val="24"/>
        </w:rPr>
        <w:t xml:space="preserve">Le titulaire devra produire un </w:t>
      </w:r>
      <w:r w:rsidRPr="00724DEA">
        <w:rPr>
          <w:bCs/>
          <w:sz w:val="24"/>
        </w:rPr>
        <w:t>bilan d’exécution</w:t>
      </w:r>
      <w:r w:rsidRPr="00764295">
        <w:rPr>
          <w:sz w:val="24"/>
        </w:rPr>
        <w:t xml:space="preserve"> de ces actions en cours et en fin de contrat, à la demande de l’acheteur.</w:t>
      </w:r>
    </w:p>
    <w:p w14:paraId="770FFEDA" w14:textId="77777777" w:rsidR="00145A42" w:rsidRPr="00145A42" w:rsidRDefault="00764295" w:rsidP="00724DEA">
      <w:pPr>
        <w:jc w:val="both"/>
        <w:outlineLvl w:val="0"/>
        <w:rPr>
          <w:b/>
          <w:bCs/>
          <w:sz w:val="24"/>
        </w:rPr>
      </w:pPr>
      <w:bookmarkStart w:id="44" w:name="_Toc201229446"/>
      <w:bookmarkStart w:id="45" w:name="_Toc201856541"/>
      <w:r w:rsidRPr="00764295">
        <w:rPr>
          <w:b/>
          <w:bCs/>
          <w:sz w:val="24"/>
        </w:rPr>
        <w:t>I.10.</w:t>
      </w:r>
      <w:r>
        <w:rPr>
          <w:b/>
          <w:bCs/>
          <w:sz w:val="24"/>
        </w:rPr>
        <w:t>4</w:t>
      </w:r>
      <w:r w:rsidRPr="00764295">
        <w:rPr>
          <w:b/>
          <w:bCs/>
          <w:sz w:val="24"/>
        </w:rPr>
        <w:t xml:space="preserve"> </w:t>
      </w:r>
      <w:r>
        <w:rPr>
          <w:b/>
          <w:bCs/>
          <w:sz w:val="24"/>
        </w:rPr>
        <w:t xml:space="preserve">Engagement </w:t>
      </w:r>
      <w:r w:rsidR="002E7B6C">
        <w:rPr>
          <w:b/>
          <w:bCs/>
          <w:sz w:val="24"/>
        </w:rPr>
        <w:t>d’exécution environnementale</w:t>
      </w:r>
      <w:bookmarkEnd w:id="44"/>
      <w:bookmarkEnd w:id="45"/>
      <w:r w:rsidR="002E7B6C">
        <w:rPr>
          <w:b/>
          <w:bCs/>
          <w:sz w:val="24"/>
        </w:rPr>
        <w:t xml:space="preserve"> </w:t>
      </w:r>
    </w:p>
    <w:p w14:paraId="3BB0E8A2" w14:textId="77777777" w:rsidR="00145A42" w:rsidRPr="00764295" w:rsidRDefault="00145A42" w:rsidP="00145A42">
      <w:pPr>
        <w:jc w:val="both"/>
        <w:rPr>
          <w:sz w:val="24"/>
        </w:rPr>
      </w:pPr>
      <w:r w:rsidRPr="00724DEA">
        <w:rPr>
          <w:bCs/>
          <w:sz w:val="24"/>
        </w:rPr>
        <w:t xml:space="preserve">Le </w:t>
      </w:r>
      <w:r w:rsidR="00764295" w:rsidRPr="00724DEA">
        <w:rPr>
          <w:bCs/>
          <w:sz w:val="24"/>
        </w:rPr>
        <w:t>cocontractant</w:t>
      </w:r>
      <w:r w:rsidRPr="00724DEA">
        <w:rPr>
          <w:bCs/>
          <w:sz w:val="24"/>
        </w:rPr>
        <w:t xml:space="preserve"> du marché s’engage à intégrer, dans les modalités d’exécution du contrat, des mesures de réduction de son impact environnemental.</w:t>
      </w:r>
      <w:r w:rsidR="002E7B6C" w:rsidRPr="00764295">
        <w:rPr>
          <w:sz w:val="24"/>
        </w:rPr>
        <w:t xml:space="preserve"> </w:t>
      </w:r>
      <w:r w:rsidRPr="00764295">
        <w:rPr>
          <w:sz w:val="24"/>
        </w:rPr>
        <w:t>À ce titre, il devra :</w:t>
      </w:r>
    </w:p>
    <w:p w14:paraId="0CD96266" w14:textId="77777777" w:rsidR="00145A42" w:rsidRPr="006D2F01" w:rsidRDefault="00145A42" w:rsidP="00B900C6">
      <w:pPr>
        <w:numPr>
          <w:ilvl w:val="0"/>
          <w:numId w:val="17"/>
        </w:numPr>
        <w:jc w:val="both"/>
        <w:rPr>
          <w:sz w:val="24"/>
        </w:rPr>
      </w:pPr>
      <w:r w:rsidRPr="006D2F01">
        <w:rPr>
          <w:sz w:val="24"/>
        </w:rPr>
        <w:t>mettre en place des actions de réduction de l’empreinte carbone (limitation des déplacements, choix de moyens logistiques éco-responsables) ;</w:t>
      </w:r>
    </w:p>
    <w:p w14:paraId="0AA0AAD7" w14:textId="77777777" w:rsidR="00145A42" w:rsidRPr="006D2F01" w:rsidRDefault="00145A42" w:rsidP="00B900C6">
      <w:pPr>
        <w:numPr>
          <w:ilvl w:val="0"/>
          <w:numId w:val="17"/>
        </w:numPr>
        <w:jc w:val="both"/>
        <w:rPr>
          <w:sz w:val="24"/>
        </w:rPr>
      </w:pPr>
      <w:r w:rsidRPr="006D2F01">
        <w:rPr>
          <w:sz w:val="24"/>
        </w:rPr>
        <w:t>privilégier l’usage de matériaux ou fournitures recyclables, recyclés ou durables ;</w:t>
      </w:r>
    </w:p>
    <w:p w14:paraId="50C6AE08" w14:textId="77777777" w:rsidR="00145A42" w:rsidRPr="006D2F01" w:rsidRDefault="00145A42" w:rsidP="00B900C6">
      <w:pPr>
        <w:numPr>
          <w:ilvl w:val="0"/>
          <w:numId w:val="17"/>
        </w:numPr>
        <w:jc w:val="both"/>
        <w:rPr>
          <w:sz w:val="24"/>
        </w:rPr>
      </w:pPr>
      <w:r w:rsidRPr="006D2F01">
        <w:rPr>
          <w:sz w:val="24"/>
        </w:rPr>
        <w:t>assurer une gestion efficace des déchets produits pendant l’exécution du marché, incluant le tri, la réduction à la source et le recyclage ;</w:t>
      </w:r>
    </w:p>
    <w:p w14:paraId="710F3E06" w14:textId="77777777" w:rsidR="00145A42" w:rsidRPr="00724DEA" w:rsidRDefault="00145A42" w:rsidP="00B900C6">
      <w:pPr>
        <w:numPr>
          <w:ilvl w:val="0"/>
          <w:numId w:val="17"/>
        </w:numPr>
        <w:jc w:val="both"/>
        <w:rPr>
          <w:sz w:val="24"/>
        </w:rPr>
      </w:pPr>
      <w:r w:rsidRPr="00724DEA">
        <w:rPr>
          <w:sz w:val="24"/>
        </w:rPr>
        <w:t>adopter des pratiques favorisant l’économie d’énergie (équipements basse consommation, horaires d’intervention optimisés).</w:t>
      </w:r>
    </w:p>
    <w:p w14:paraId="70CB5334" w14:textId="77777777" w:rsidR="00145A42" w:rsidRPr="00764295" w:rsidRDefault="00145A42" w:rsidP="00145A42">
      <w:pPr>
        <w:jc w:val="both"/>
        <w:rPr>
          <w:sz w:val="24"/>
        </w:rPr>
      </w:pPr>
      <w:r w:rsidRPr="00724DEA">
        <w:rPr>
          <w:sz w:val="24"/>
        </w:rPr>
        <w:lastRenderedPageBreak/>
        <w:t xml:space="preserve">Le respect de ces engagements fera l’objet </w:t>
      </w:r>
      <w:r w:rsidRPr="00724DEA">
        <w:rPr>
          <w:b/>
          <w:sz w:val="24"/>
        </w:rPr>
        <w:t xml:space="preserve">d’un </w:t>
      </w:r>
      <w:r w:rsidRPr="002E7B6C">
        <w:rPr>
          <w:b/>
          <w:bCs/>
          <w:sz w:val="24"/>
        </w:rPr>
        <w:t>suivi régulier</w:t>
      </w:r>
      <w:r w:rsidRPr="00764295">
        <w:rPr>
          <w:sz w:val="24"/>
        </w:rPr>
        <w:t>, pouvant donner lieu à la transmission de documents justificatifs à l’acheteur.</w:t>
      </w:r>
    </w:p>
    <w:p w14:paraId="4343E8CD" w14:textId="33A7E7FC" w:rsidR="00550430" w:rsidRPr="00745209" w:rsidRDefault="00764295" w:rsidP="00745209">
      <w:pPr>
        <w:jc w:val="both"/>
        <w:rPr>
          <w:sz w:val="24"/>
        </w:rPr>
      </w:pPr>
      <w:r>
        <w:rPr>
          <w:sz w:val="24"/>
        </w:rPr>
        <w:t xml:space="preserve">L’annexe d’engagement à respecter les critères environnementaux et sociaux devra être signée et transmise dans l’offre du candidat </w:t>
      </w:r>
      <w:r w:rsidR="002E7B6C">
        <w:rPr>
          <w:sz w:val="24"/>
        </w:rPr>
        <w:t>au moment du dépôt de l’offre</w:t>
      </w:r>
      <w:r>
        <w:rPr>
          <w:sz w:val="24"/>
        </w:rPr>
        <w:t>.</w:t>
      </w:r>
    </w:p>
    <w:p w14:paraId="1F46E481" w14:textId="3B4C142A" w:rsidR="00D366D1" w:rsidRPr="00E54414" w:rsidRDefault="00905A82" w:rsidP="00695734">
      <w:pPr>
        <w:jc w:val="both"/>
        <w:outlineLvl w:val="0"/>
        <w:rPr>
          <w:b/>
          <w:bCs/>
          <w:sz w:val="24"/>
        </w:rPr>
      </w:pPr>
      <w:bookmarkStart w:id="46" w:name="_Toc201229447"/>
      <w:bookmarkStart w:id="47" w:name="_Toc201856542"/>
      <w:r w:rsidRPr="00E54414">
        <w:rPr>
          <w:b/>
          <w:bCs/>
          <w:sz w:val="24"/>
        </w:rPr>
        <w:t>I.1</w:t>
      </w:r>
      <w:r w:rsidR="00266310">
        <w:rPr>
          <w:b/>
          <w:bCs/>
          <w:sz w:val="24"/>
        </w:rPr>
        <w:t>0</w:t>
      </w:r>
      <w:r w:rsidRPr="00E54414">
        <w:rPr>
          <w:b/>
          <w:bCs/>
          <w:sz w:val="24"/>
        </w:rPr>
        <w:t>.</w:t>
      </w:r>
      <w:r w:rsidR="008B7D26">
        <w:rPr>
          <w:b/>
          <w:bCs/>
          <w:sz w:val="24"/>
        </w:rPr>
        <w:t>5</w:t>
      </w:r>
      <w:r w:rsidRPr="00E54414">
        <w:rPr>
          <w:b/>
          <w:bCs/>
          <w:sz w:val="24"/>
        </w:rPr>
        <w:t xml:space="preserve"> </w:t>
      </w:r>
      <w:r w:rsidR="00695734" w:rsidRPr="00E54414">
        <w:rPr>
          <w:b/>
          <w:bCs/>
          <w:sz w:val="24"/>
        </w:rPr>
        <w:t>Pénalité</w:t>
      </w:r>
      <w:r w:rsidR="002E7B6C">
        <w:rPr>
          <w:b/>
          <w:bCs/>
          <w:sz w:val="24"/>
        </w:rPr>
        <w:t>s</w:t>
      </w:r>
      <w:bookmarkEnd w:id="46"/>
      <w:bookmarkEnd w:id="47"/>
    </w:p>
    <w:p w14:paraId="30BC6933" w14:textId="3308CBE6" w:rsidR="00BB08C5" w:rsidRDefault="00BB08C5" w:rsidP="00BF67F2">
      <w:pPr>
        <w:jc w:val="both"/>
        <w:rPr>
          <w:sz w:val="24"/>
        </w:rPr>
      </w:pPr>
      <w:r w:rsidRPr="00BF67F2">
        <w:rPr>
          <w:sz w:val="24"/>
        </w:rPr>
        <w:t xml:space="preserve">Les pénalités </w:t>
      </w:r>
      <w:r>
        <w:rPr>
          <w:sz w:val="24"/>
        </w:rPr>
        <w:t xml:space="preserve">sont fixées forfaitairement à </w:t>
      </w:r>
      <w:r>
        <w:rPr>
          <w:sz w:val="24"/>
        </w:rPr>
        <w:t>50</w:t>
      </w:r>
      <w:r w:rsidRPr="00BF67F2">
        <w:rPr>
          <w:sz w:val="24"/>
        </w:rPr>
        <w:t xml:space="preserve">0€ net par jour de retard de remise des livrables finaux attendus au titre des </w:t>
      </w:r>
      <w:r>
        <w:rPr>
          <w:sz w:val="24"/>
        </w:rPr>
        <w:t>marchés subséquents</w:t>
      </w:r>
      <w:r w:rsidRPr="00BF67F2">
        <w:rPr>
          <w:sz w:val="24"/>
        </w:rPr>
        <w:t xml:space="preserve"> ou des bons de commande concernés.</w:t>
      </w:r>
    </w:p>
    <w:p w14:paraId="3ABB46D1" w14:textId="77777777" w:rsidR="002B52CA" w:rsidRPr="00BF67F2" w:rsidRDefault="00A319DC" w:rsidP="00BF67F2">
      <w:pPr>
        <w:jc w:val="both"/>
        <w:rPr>
          <w:sz w:val="24"/>
        </w:rPr>
      </w:pPr>
      <w:r w:rsidRPr="00BF67F2">
        <w:rPr>
          <w:sz w:val="24"/>
        </w:rPr>
        <w:t xml:space="preserve">Le montant des pénalités sera appliqué dans le calcul du solde des versements dus au titre des </w:t>
      </w:r>
      <w:r w:rsidR="00885E85">
        <w:rPr>
          <w:sz w:val="24"/>
        </w:rPr>
        <w:t>marchés subséquents</w:t>
      </w:r>
      <w:r w:rsidRPr="00BF67F2">
        <w:rPr>
          <w:sz w:val="24"/>
        </w:rPr>
        <w:t xml:space="preserve"> ou des bons de commande concernés.</w:t>
      </w:r>
    </w:p>
    <w:p w14:paraId="5D01BF44" w14:textId="2CD4F330" w:rsidR="00961BE1" w:rsidRPr="00BB08C5" w:rsidRDefault="00BF67F2" w:rsidP="00BB08C5">
      <w:pPr>
        <w:jc w:val="both"/>
        <w:rPr>
          <w:sz w:val="24"/>
        </w:rPr>
      </w:pPr>
      <w:r w:rsidRPr="00BF67F2">
        <w:rPr>
          <w:sz w:val="24"/>
        </w:rPr>
        <w:t xml:space="preserve">En toutes hypothèses, le montant des pénalités ne pourra dépasser </w:t>
      </w:r>
      <w:r w:rsidR="00930D5F">
        <w:rPr>
          <w:sz w:val="24"/>
        </w:rPr>
        <w:t>2</w:t>
      </w:r>
      <w:r w:rsidRPr="00BF67F2">
        <w:rPr>
          <w:sz w:val="24"/>
        </w:rPr>
        <w:t xml:space="preserve">0% de la valeur du </w:t>
      </w:r>
      <w:r w:rsidR="00885E85">
        <w:rPr>
          <w:sz w:val="24"/>
        </w:rPr>
        <w:t>marché subséquent</w:t>
      </w:r>
      <w:r w:rsidRPr="00BF67F2">
        <w:rPr>
          <w:sz w:val="24"/>
        </w:rPr>
        <w:t xml:space="preserve"> </w:t>
      </w:r>
      <w:r w:rsidR="00BC074F">
        <w:rPr>
          <w:sz w:val="24"/>
        </w:rPr>
        <w:t>ou du bon de commande concerné.</w:t>
      </w:r>
    </w:p>
    <w:p w14:paraId="27137B08" w14:textId="77777777" w:rsidR="005A7005" w:rsidRDefault="00B06C48" w:rsidP="00361126">
      <w:pPr>
        <w:spacing w:before="0" w:beforeAutospacing="0" w:after="360" w:afterAutospacing="0"/>
        <w:rPr>
          <w:b/>
          <w:smallCaps/>
          <w:sz w:val="32"/>
          <w:u w:val="single"/>
        </w:rPr>
      </w:pPr>
      <w:r w:rsidRPr="00B06C48">
        <w:rPr>
          <w:b/>
          <w:smallCaps/>
          <w:sz w:val="32"/>
          <w:u w:val="single"/>
        </w:rPr>
        <w:t>Mentions déclaratives et</w:t>
      </w:r>
      <w:r w:rsidRPr="00B06C48">
        <w:rPr>
          <w:b/>
          <w:sz w:val="32"/>
          <w:u w:val="single"/>
        </w:rPr>
        <w:t xml:space="preserve"> </w:t>
      </w:r>
      <w:r w:rsidRPr="00B06C48">
        <w:rPr>
          <w:b/>
          <w:smallCaps/>
          <w:sz w:val="32"/>
          <w:u w:val="single"/>
        </w:rPr>
        <w:t>s</w:t>
      </w:r>
      <w:r w:rsidR="001E558E" w:rsidRPr="00B06C48">
        <w:rPr>
          <w:b/>
          <w:smallCaps/>
          <w:sz w:val="32"/>
          <w:u w:val="single"/>
        </w:rPr>
        <w:t>ignatures</w:t>
      </w:r>
    </w:p>
    <w:p w14:paraId="3163A7E4" w14:textId="77777777" w:rsidR="00B06C48" w:rsidRPr="008B7D26" w:rsidRDefault="00B06C48" w:rsidP="008B7D26">
      <w:pPr>
        <w:jc w:val="both"/>
        <w:rPr>
          <w:sz w:val="24"/>
        </w:rPr>
      </w:pPr>
      <w:bookmarkStart w:id="48" w:name="_Toc201229448"/>
      <w:r w:rsidRPr="008B7D26">
        <w:rPr>
          <w:sz w:val="24"/>
        </w:rPr>
        <w:t>Le Contractant, les membres de son groupement, ses fournisseurs, ses prestataires, ses consultants et ses sous-traitants (comprenant les directeurs, employés et a</w:t>
      </w:r>
      <w:r w:rsidR="0055559F" w:rsidRPr="008B7D26">
        <w:rPr>
          <w:sz w:val="24"/>
        </w:rPr>
        <w:t>gents de ces entités) attestent</w:t>
      </w:r>
      <w:r w:rsidRPr="008B7D26">
        <w:rPr>
          <w:sz w:val="24"/>
        </w:rPr>
        <w:t xml:space="preserve"> :</w:t>
      </w:r>
      <w:bookmarkEnd w:id="48"/>
      <w:r w:rsidRPr="008B7D26">
        <w:rPr>
          <w:sz w:val="24"/>
        </w:rPr>
        <w:t xml:space="preserve"> </w:t>
      </w:r>
    </w:p>
    <w:p w14:paraId="572CA254" w14:textId="77777777" w:rsidR="00B06C48" w:rsidRPr="00703722" w:rsidRDefault="0055559F" w:rsidP="00B900C6">
      <w:pPr>
        <w:pStyle w:val="Paragraphedeliste"/>
        <w:numPr>
          <w:ilvl w:val="0"/>
          <w:numId w:val="21"/>
        </w:numPr>
        <w:jc w:val="both"/>
        <w:rPr>
          <w:sz w:val="24"/>
        </w:rPr>
      </w:pPr>
      <w:bookmarkStart w:id="49" w:name="_Toc201229449"/>
      <w:r w:rsidRPr="00703722">
        <w:rPr>
          <w:sz w:val="24"/>
        </w:rPr>
        <w:t xml:space="preserve">qu’ils </w:t>
      </w:r>
      <w:r w:rsidR="00B06C48" w:rsidRPr="00703722">
        <w:rPr>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1" w:history="1">
        <w:r w:rsidR="00B06C48" w:rsidRPr="00703722">
          <w:rPr>
            <w:rStyle w:val="Lienhypertexte"/>
            <w:bCs/>
            <w:sz w:val="24"/>
          </w:rPr>
          <w:t>https://www.sanctionsmap.eu</w:t>
        </w:r>
      </w:hyperlink>
      <w:r w:rsidR="00B06C48" w:rsidRPr="00703722">
        <w:rPr>
          <w:sz w:val="24"/>
        </w:rPr>
        <w:t xml:space="preserve"> ;</w:t>
      </w:r>
      <w:bookmarkEnd w:id="49"/>
    </w:p>
    <w:p w14:paraId="665C5BD0" w14:textId="77777777" w:rsidR="00B06C48" w:rsidRDefault="0055559F" w:rsidP="00B900C6">
      <w:pPr>
        <w:pStyle w:val="Paragraphedeliste"/>
        <w:numPr>
          <w:ilvl w:val="0"/>
          <w:numId w:val="21"/>
        </w:numPr>
        <w:jc w:val="both"/>
      </w:pPr>
      <w:bookmarkStart w:id="50" w:name="_Toc201229450"/>
      <w:r w:rsidRPr="00703722">
        <w:rPr>
          <w:sz w:val="24"/>
        </w:rPr>
        <w:t xml:space="preserve">qu’ils </w:t>
      </w:r>
      <w:r w:rsidR="00B06C48" w:rsidRPr="00703722">
        <w:rPr>
          <w:sz w:val="24"/>
        </w:rPr>
        <w:t>ne figurent pas sur les listes de sanctions financières adoptées par les Nations Unies, l’Union Européenne</w:t>
      </w:r>
      <w:r w:rsidR="004974A6" w:rsidRPr="00703722">
        <w:rPr>
          <w:sz w:val="24"/>
        </w:rPr>
        <w:t>, la France</w:t>
      </w:r>
      <w:r w:rsidR="00B06C48" w:rsidRPr="00703722">
        <w:rPr>
          <w:sz w:val="24"/>
        </w:rPr>
        <w:t xml:space="preserve"> et/ou </w:t>
      </w:r>
      <w:r w:rsidR="004974A6" w:rsidRPr="00703722">
        <w:rPr>
          <w:sz w:val="24"/>
        </w:rPr>
        <w:t xml:space="preserve">les </w:t>
      </w:r>
      <w:r w:rsidR="00E374BE" w:rsidRPr="00703722">
        <w:rPr>
          <w:sz w:val="24"/>
        </w:rPr>
        <w:t>États-Unis</w:t>
      </w:r>
      <w:r w:rsidR="00B06C48" w:rsidRPr="00703722">
        <w:rPr>
          <w:sz w:val="24"/>
        </w:rPr>
        <w:t>, notamment au titre de la lutte contre le financement du terrorisme et contre les atteintes à la paix et à la sécurité nationales. A titre d’information</w:t>
      </w:r>
      <w:r w:rsidR="00B06C48">
        <w:t xml:space="preserve">, </w:t>
      </w:r>
      <w:r w:rsidR="00B06C48" w:rsidRPr="00703722">
        <w:rPr>
          <w:sz w:val="24"/>
        </w:rPr>
        <w:t>les listes peuvent être consultées aux références ci-dessous:</w:t>
      </w:r>
      <w:bookmarkEnd w:id="50"/>
    </w:p>
    <w:p w14:paraId="003B189A" w14:textId="77777777" w:rsidR="00B06C48" w:rsidRPr="00780589" w:rsidRDefault="00B06C48" w:rsidP="00B900C6">
      <w:pPr>
        <w:pStyle w:val="Paragraphedeliste"/>
        <w:numPr>
          <w:ilvl w:val="0"/>
          <w:numId w:val="22"/>
        </w:numPr>
        <w:ind w:left="1134"/>
        <w:rPr>
          <w:sz w:val="24"/>
        </w:rPr>
      </w:pPr>
      <w:bookmarkStart w:id="51" w:name="_Toc201229451"/>
      <w:r w:rsidRPr="00780589">
        <w:rPr>
          <w:sz w:val="24"/>
        </w:rPr>
        <w:t xml:space="preserve">pour les Nations Unies, recueil des listes de sanctions du Conseil de sécurité des Nations Unies : </w:t>
      </w:r>
      <w:hyperlink r:id="rId12" w:history="1">
        <w:r w:rsidR="009F4A57" w:rsidRPr="00780589">
          <w:rPr>
            <w:rStyle w:val="Lienhypertexte"/>
            <w:bCs/>
            <w:sz w:val="24"/>
          </w:rPr>
          <w:t>https://www.un.org/securitycouncil/content/un-sc-consolidated-list</w:t>
        </w:r>
      </w:hyperlink>
      <w:r w:rsidRPr="00780589">
        <w:rPr>
          <w:sz w:val="24"/>
        </w:rPr>
        <w:t>,</w:t>
      </w:r>
      <w:bookmarkEnd w:id="51"/>
    </w:p>
    <w:p w14:paraId="762B7DD8" w14:textId="77777777" w:rsidR="00B06C48" w:rsidRPr="00780589" w:rsidRDefault="00B06C48" w:rsidP="00B900C6">
      <w:pPr>
        <w:pStyle w:val="Paragraphedeliste"/>
        <w:numPr>
          <w:ilvl w:val="0"/>
          <w:numId w:val="22"/>
        </w:numPr>
        <w:ind w:left="1134"/>
        <w:rPr>
          <w:sz w:val="24"/>
        </w:rPr>
      </w:pPr>
      <w:bookmarkStart w:id="52" w:name="_Toc201229452"/>
      <w:r w:rsidRPr="00780589">
        <w:rPr>
          <w:sz w:val="24"/>
        </w:rPr>
        <w:t xml:space="preserve">pour l’Union européenne, les listes peuvent être consultées à l’adresse suivante : </w:t>
      </w:r>
      <w:hyperlink r:id="rId13" w:history="1">
        <w:r w:rsidRPr="00780589">
          <w:rPr>
            <w:rStyle w:val="Lienhypertexte"/>
            <w:bCs/>
            <w:sz w:val="24"/>
          </w:rPr>
          <w:t>https://www.sanctionsmap.eu</w:t>
        </w:r>
      </w:hyperlink>
      <w:r w:rsidRPr="00780589">
        <w:rPr>
          <w:sz w:val="24"/>
        </w:rPr>
        <w:t>,</w:t>
      </w:r>
      <w:bookmarkEnd w:id="52"/>
    </w:p>
    <w:p w14:paraId="7D87C69F" w14:textId="77777777" w:rsidR="004974A6" w:rsidRPr="00780589" w:rsidRDefault="00B06C48" w:rsidP="00B900C6">
      <w:pPr>
        <w:pStyle w:val="Paragraphedeliste"/>
        <w:numPr>
          <w:ilvl w:val="0"/>
          <w:numId w:val="22"/>
        </w:numPr>
        <w:ind w:left="1134"/>
        <w:rPr>
          <w:sz w:val="24"/>
        </w:rPr>
      </w:pPr>
      <w:bookmarkStart w:id="53" w:name="_Toc201229453"/>
      <w:r w:rsidRPr="00780589">
        <w:rPr>
          <w:sz w:val="24"/>
        </w:rPr>
        <w:t xml:space="preserve">pour la France, voir : </w:t>
      </w:r>
      <w:hyperlink r:id="rId14" w:history="1">
        <w:r w:rsidR="009F4A57" w:rsidRPr="00780589">
          <w:rPr>
            <w:rStyle w:val="Lienhypertexte"/>
            <w:bCs/>
            <w:sz w:val="24"/>
          </w:rPr>
          <w:t>https://gels-avoirs.dgtresor.gouv.fr/List</w:t>
        </w:r>
      </w:hyperlink>
      <w:r w:rsidR="004974A6" w:rsidRPr="00780589">
        <w:rPr>
          <w:sz w:val="24"/>
        </w:rPr>
        <w:t>,</w:t>
      </w:r>
      <w:bookmarkEnd w:id="53"/>
    </w:p>
    <w:p w14:paraId="5CDBB36D" w14:textId="77777777" w:rsidR="00B06C48" w:rsidRPr="00780589" w:rsidRDefault="004974A6" w:rsidP="00B900C6">
      <w:pPr>
        <w:pStyle w:val="Paragraphedeliste"/>
        <w:numPr>
          <w:ilvl w:val="0"/>
          <w:numId w:val="22"/>
        </w:numPr>
        <w:ind w:left="1134"/>
        <w:rPr>
          <w:sz w:val="24"/>
        </w:rPr>
      </w:pPr>
      <w:bookmarkStart w:id="54" w:name="_Toc201229454"/>
      <w:r w:rsidRPr="00780589">
        <w:rPr>
          <w:sz w:val="24"/>
        </w:rPr>
        <w:t xml:space="preserve">pour les Etats-Unis, voir : </w:t>
      </w:r>
      <w:hyperlink r:id="rId15" w:history="1">
        <w:r w:rsidRPr="00780589">
          <w:rPr>
            <w:rStyle w:val="Lienhypertexte"/>
            <w:bCs/>
            <w:sz w:val="24"/>
          </w:rPr>
          <w:t>https://home.treasury.gov/policy-issues/financial-sanctions/sanctions-programs-and-country-information</w:t>
        </w:r>
      </w:hyperlink>
      <w:r w:rsidRPr="00780589">
        <w:rPr>
          <w:sz w:val="24"/>
        </w:rPr>
        <w:t>;</w:t>
      </w:r>
      <w:bookmarkEnd w:id="54"/>
    </w:p>
    <w:p w14:paraId="737F4B90" w14:textId="77777777" w:rsidR="0055559F" w:rsidRPr="00780589" w:rsidRDefault="0055559F" w:rsidP="00B900C6">
      <w:pPr>
        <w:pStyle w:val="Paragraphedeliste"/>
        <w:numPr>
          <w:ilvl w:val="0"/>
          <w:numId w:val="23"/>
        </w:numPr>
        <w:jc w:val="both"/>
        <w:rPr>
          <w:bCs/>
          <w:sz w:val="24"/>
        </w:rPr>
      </w:pPr>
      <w:bookmarkStart w:id="55" w:name="_Toc201229455"/>
      <w:r w:rsidRPr="00780589">
        <w:rPr>
          <w:sz w:val="24"/>
        </w:rPr>
        <w:t xml:space="preserve">qu’ils </w:t>
      </w:r>
      <w:r w:rsidR="00B06C48" w:rsidRPr="00780589">
        <w:rPr>
          <w:sz w:val="24"/>
        </w:rPr>
        <w:t>ne sont pas sous le coup d’une décision d’exclusion prononcée par la Banque Mondiale et ne figurons pas à ce titre sur la liste publiée par la Banque Mondiale. A titre</w:t>
      </w:r>
      <w:r w:rsidR="00B06C48" w:rsidRPr="00780589">
        <w:rPr>
          <w:bCs/>
          <w:sz w:val="24"/>
        </w:rPr>
        <w:t xml:space="preserve"> </w:t>
      </w:r>
      <w:r w:rsidR="00B06C48" w:rsidRPr="00780589">
        <w:rPr>
          <w:bCs/>
          <w:sz w:val="24"/>
        </w:rPr>
        <w:lastRenderedPageBreak/>
        <w:t xml:space="preserve">d’information, la liste peut être consultée à l’adresse électronique suivante : </w:t>
      </w:r>
      <w:hyperlink r:id="rId16" w:history="1">
        <w:r w:rsidR="00B06C48" w:rsidRPr="00780589">
          <w:rPr>
            <w:rStyle w:val="Lienhypertexte"/>
            <w:bCs/>
            <w:sz w:val="24"/>
          </w:rPr>
          <w:t>https://www.worldbank.org/en/projects-operations/procurement/debarred-firms</w:t>
        </w:r>
        <w:bookmarkEnd w:id="55"/>
      </w:hyperlink>
      <w:r w:rsidRPr="00780589">
        <w:rPr>
          <w:bCs/>
          <w:sz w:val="24"/>
        </w:rPr>
        <w:t xml:space="preserve">  </w:t>
      </w:r>
    </w:p>
    <w:p w14:paraId="37079FFB" w14:textId="323FD4B8" w:rsidR="00B06C48" w:rsidRPr="00780589" w:rsidRDefault="0055559F" w:rsidP="00780589">
      <w:pPr>
        <w:jc w:val="both"/>
        <w:rPr>
          <w:i/>
          <w:sz w:val="24"/>
        </w:rPr>
      </w:pPr>
      <w:bookmarkStart w:id="56" w:name="_Toc201229456"/>
      <w:r w:rsidRPr="00780589">
        <w:rPr>
          <w:i/>
          <w:sz w:val="24"/>
        </w:rPr>
        <w:t>D</w:t>
      </w:r>
      <w:r w:rsidR="00B06C48" w:rsidRPr="00780589">
        <w:rPr>
          <w:i/>
          <w:sz w:val="24"/>
        </w:rPr>
        <w:t xml:space="preserve">ans l’hypothèse d’une telle décision d’exclusion, </w:t>
      </w:r>
      <w:r w:rsidR="00421E24" w:rsidRPr="00780589">
        <w:rPr>
          <w:i/>
          <w:sz w:val="24"/>
        </w:rPr>
        <w:t>le c</w:t>
      </w:r>
      <w:r w:rsidR="001A2DB2" w:rsidRPr="00780589">
        <w:rPr>
          <w:i/>
          <w:sz w:val="24"/>
        </w:rPr>
        <w:t>ontractant</w:t>
      </w:r>
      <w:r w:rsidR="00421E24" w:rsidRPr="00780589">
        <w:rPr>
          <w:i/>
          <w:sz w:val="24"/>
        </w:rPr>
        <w:t xml:space="preserve"> joindra</w:t>
      </w:r>
      <w:r w:rsidR="00B06C48" w:rsidRPr="00780589">
        <w:rPr>
          <w:i/>
          <w:sz w:val="24"/>
        </w:rPr>
        <w:t xml:space="preserve"> à la présente déclaration sur l’honneur les informations complémentaires qui permettraient de considérer que cette décision d’exclusion n’est pas pertinente dans le cadre du marché).</w:t>
      </w:r>
      <w:bookmarkEnd w:id="56"/>
    </w:p>
    <w:p w14:paraId="6D46EE0F" w14:textId="7FB3CD34" w:rsidR="00B06C48" w:rsidRPr="00780589" w:rsidRDefault="00B06C48" w:rsidP="00780589">
      <w:pPr>
        <w:jc w:val="both"/>
        <w:rPr>
          <w:sz w:val="24"/>
        </w:rPr>
      </w:pPr>
      <w:bookmarkStart w:id="57" w:name="_Toc201229457"/>
      <w:r w:rsidRPr="00780589">
        <w:rPr>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57"/>
    </w:p>
    <w:p w14:paraId="73146825" w14:textId="5950ADCE" w:rsidR="00961BE1" w:rsidRPr="00780589" w:rsidRDefault="00B06C48" w:rsidP="00780589">
      <w:pPr>
        <w:jc w:val="both"/>
        <w:rPr>
          <w:sz w:val="24"/>
        </w:rPr>
      </w:pPr>
      <w:bookmarkStart w:id="58" w:name="_Toc201229458"/>
      <w:r w:rsidRPr="00780589">
        <w:rPr>
          <w:sz w:val="24"/>
        </w:rPr>
        <w:t>Ils s’engagent en outre à communiquer sans délai à Expertise France, tout changement de sa situation au cours de l’exécution du marché, au regard de la présente déclaration.</w:t>
      </w:r>
      <w:bookmarkEnd w:id="58"/>
    </w:p>
    <w:p w14:paraId="70EC50A5" w14:textId="77777777" w:rsidR="00961BE1" w:rsidRPr="00B06C48" w:rsidRDefault="00961BE1" w:rsidP="0055559F">
      <w:pPr>
        <w:spacing w:before="0" w:beforeAutospacing="0" w:after="0" w:afterAutospacing="0"/>
        <w:rPr>
          <w:b/>
          <w:smallCaps/>
          <w:sz w:val="24"/>
          <w:u w:val="single"/>
        </w:rPr>
      </w:pPr>
    </w:p>
    <w:tbl>
      <w:tblPr>
        <w:tblW w:w="8784" w:type="dxa"/>
        <w:tblLook w:val="04A0" w:firstRow="1" w:lastRow="0" w:firstColumn="1" w:lastColumn="0" w:noHBand="0" w:noVBand="1"/>
      </w:tblPr>
      <w:tblGrid>
        <w:gridCol w:w="8784"/>
      </w:tblGrid>
      <w:tr w:rsidR="00E74327" w:rsidRPr="009F6DA8" w14:paraId="53AAF327" w14:textId="77777777" w:rsidTr="00BA396D">
        <w:tc>
          <w:tcPr>
            <w:tcW w:w="8784" w:type="dxa"/>
          </w:tcPr>
          <w:p w14:paraId="34DEB7DD"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5F405EBE"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437F8779"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0E7D0EBE"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6EAB441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3B5F5775"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5ED14028" w14:textId="77777777" w:rsidTr="00BA396D">
        <w:tc>
          <w:tcPr>
            <w:tcW w:w="8784" w:type="dxa"/>
          </w:tcPr>
          <w:p w14:paraId="6B5F2DD6" w14:textId="6D283420" w:rsidR="00E74327" w:rsidRPr="00D42876" w:rsidRDefault="00E74327" w:rsidP="00D42876">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3D6E52B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1"/>
            </w:r>
            <w:r w:rsidRPr="001E558E">
              <w:rPr>
                <w:rFonts w:cs="Arial"/>
                <w:sz w:val="24"/>
              </w:rPr>
              <w:t> :</w:t>
            </w:r>
            <w:r w:rsidRPr="001E558E">
              <w:rPr>
                <w:rFonts w:cs="Arial"/>
                <w:sz w:val="24"/>
                <w:u w:val="single"/>
              </w:rPr>
              <w:tab/>
            </w:r>
          </w:p>
          <w:p w14:paraId="4C69215C"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210F30D6" w14:textId="3218261F"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tc>
      </w:tr>
    </w:tbl>
    <w:p w14:paraId="1C972423" w14:textId="7777777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6D5211E1" w14:textId="77777777" w:rsidR="00E74327" w:rsidRDefault="00E74327" w:rsidP="00CF2CE4">
      <w:pPr>
        <w:rPr>
          <w:sz w:val="24"/>
        </w:rPr>
      </w:pPr>
    </w:p>
    <w:p w14:paraId="0084C34D" w14:textId="77777777" w:rsidR="00E74327" w:rsidRDefault="00E74327" w:rsidP="00CF2CE4">
      <w:pPr>
        <w:rPr>
          <w:sz w:val="24"/>
        </w:rPr>
        <w:sectPr w:rsidR="00E74327" w:rsidSect="00BA396D">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451D72" w14:textId="77777777" w:rsidR="00393A80" w:rsidRPr="00273F95" w:rsidRDefault="00393A80" w:rsidP="00393A80">
      <w:pPr>
        <w:spacing w:after="240"/>
        <w:jc w:val="center"/>
        <w:rPr>
          <w:b/>
          <w:caps/>
          <w:sz w:val="28"/>
        </w:rPr>
      </w:pPr>
      <w:r w:rsidRPr="00273F95">
        <w:rPr>
          <w:b/>
          <w:caps/>
          <w:sz w:val="28"/>
        </w:rPr>
        <w:lastRenderedPageBreak/>
        <w:t xml:space="preserve">II – </w:t>
      </w:r>
      <w:r w:rsidRPr="00273F95">
        <w:rPr>
          <w:b/>
          <w:caps/>
          <w:sz w:val="28"/>
          <w:u w:val="single"/>
        </w:rPr>
        <w:t>Conditions gÉnÉrales des CONTRATS-cadres de SERVICEs</w:t>
      </w:r>
    </w:p>
    <w:p w14:paraId="768741EE" w14:textId="77777777" w:rsidR="00393A80" w:rsidRPr="00F529FC" w:rsidRDefault="00393A80" w:rsidP="00F529FC">
      <w:pPr>
        <w:rPr>
          <w:b/>
          <w:sz w:val="24"/>
        </w:rPr>
      </w:pPr>
      <w:bookmarkStart w:id="59" w:name="_Toc201229459"/>
      <w:r w:rsidRPr="00F529FC">
        <w:rPr>
          <w:b/>
          <w:sz w:val="24"/>
        </w:rPr>
        <w:t>Article II.1 – Exécution du CC</w:t>
      </w:r>
      <w:bookmarkEnd w:id="59"/>
    </w:p>
    <w:p w14:paraId="3DF9308C"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1BC83A36"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6B6DEACD"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72D5B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0C8F8ECA" w14:textId="77777777"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7A65821E"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233DB595"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116BD233" w14:textId="77777777" w:rsidR="00393A80" w:rsidRPr="00273F95" w:rsidRDefault="00393A80" w:rsidP="00B900C6">
      <w:pPr>
        <w:numPr>
          <w:ilvl w:val="0"/>
          <w:numId w:val="6"/>
        </w:numPr>
        <w:tabs>
          <w:tab w:val="left" w:pos="1418"/>
        </w:tabs>
        <w:ind w:left="1418" w:hanging="709"/>
        <w:jc w:val="both"/>
        <w:rPr>
          <w:sz w:val="24"/>
        </w:rPr>
      </w:pPr>
      <w:r w:rsidRPr="00273F95">
        <w:rPr>
          <w:sz w:val="24"/>
        </w:rPr>
        <w:t xml:space="preserve">que le personnel exécutant les tâches confiées au contractant ne peut recevoir d'ordres directs </w:t>
      </w:r>
      <w:r w:rsidR="00DD3512">
        <w:rPr>
          <w:sz w:val="24"/>
        </w:rPr>
        <w:t>d’Expertise France</w:t>
      </w:r>
      <w:r w:rsidRPr="00273F95">
        <w:rPr>
          <w:sz w:val="24"/>
        </w:rPr>
        <w:t>;</w:t>
      </w:r>
    </w:p>
    <w:p w14:paraId="706BA36D" w14:textId="77777777" w:rsidR="00393A80" w:rsidRPr="00273F95" w:rsidRDefault="00CB2123" w:rsidP="00B900C6">
      <w:pPr>
        <w:numPr>
          <w:ilvl w:val="0"/>
          <w:numId w:val="6"/>
        </w:numPr>
        <w:tabs>
          <w:tab w:val="left" w:pos="1418"/>
        </w:tabs>
        <w:ind w:left="1418" w:hanging="709"/>
        <w:jc w:val="both"/>
        <w:rPr>
          <w:sz w:val="24"/>
        </w:rPr>
      </w:pPr>
      <w:r>
        <w:rPr>
          <w:sz w:val="24"/>
        </w:rPr>
        <w:t>qu’Expertise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6C696F93" w14:textId="77777777"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tâches qui lui sont confiées imputable à un remplacement de personnel.</w:t>
      </w:r>
    </w:p>
    <w:p w14:paraId="23EA58A9" w14:textId="77777777" w:rsidR="00393A80" w:rsidRPr="00273F95" w:rsidRDefault="00393A80" w:rsidP="001C5A6B">
      <w:pPr>
        <w:ind w:left="851" w:hanging="851"/>
        <w:jc w:val="both"/>
      </w:pPr>
      <w:r w:rsidRPr="00273F95">
        <w:rPr>
          <w:b/>
          <w:noProof/>
          <w:sz w:val="24"/>
        </w:rPr>
        <w:lastRenderedPageBreak/>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7058016A" w14:textId="77777777"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w:t>
      </w:r>
      <w:r w:rsidR="00885E85">
        <w:rPr>
          <w:sz w:val="24"/>
        </w:rPr>
        <w:t>marché subséquent</w:t>
      </w:r>
      <w:r w:rsidRPr="00273F95">
        <w:rPr>
          <w:sz w:val="24"/>
        </w:rPr>
        <w:t xml:space="preserve">, </w:t>
      </w:r>
      <w:r w:rsidR="00CB2123">
        <w:rPr>
          <w:sz w:val="24"/>
        </w:rPr>
        <w:t>Expertise France</w:t>
      </w:r>
      <w:r w:rsidRPr="00273F95">
        <w:rPr>
          <w:sz w:val="24"/>
        </w:rPr>
        <w:t xml:space="preserve"> peut, sans préjudice de son droit de résilier le CC, le bon de commande ou le </w:t>
      </w:r>
      <w:r w:rsidR="00885E85">
        <w:rPr>
          <w:sz w:val="24"/>
        </w:rPr>
        <w:t>marché subséquent</w:t>
      </w:r>
      <w:r w:rsidRPr="00273F95">
        <w:rPr>
          <w:sz w:val="24"/>
        </w:rPr>
        <w:t xml:space="preserv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7B3B3E48" w14:textId="77777777"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2AD15D3F" w14:textId="77777777" w:rsidR="00852258" w:rsidRPr="00F529FC" w:rsidRDefault="00852258" w:rsidP="00B900C6">
      <w:pPr>
        <w:pStyle w:val="Paragraphedeliste"/>
        <w:numPr>
          <w:ilvl w:val="0"/>
          <w:numId w:val="23"/>
        </w:numPr>
        <w:ind w:left="1276"/>
        <w:jc w:val="both"/>
        <w:rPr>
          <w:sz w:val="24"/>
        </w:rPr>
      </w:pPr>
      <w:bookmarkStart w:id="60" w:name="_Toc201229460"/>
      <w:r w:rsidRPr="00F529FC">
        <w:rPr>
          <w:sz w:val="24"/>
        </w:rPr>
        <w:t>viande ;</w:t>
      </w:r>
      <w:bookmarkEnd w:id="60"/>
    </w:p>
    <w:p w14:paraId="3CF314ED" w14:textId="77777777" w:rsidR="00852258" w:rsidRPr="00F529FC" w:rsidRDefault="00852258" w:rsidP="00B900C6">
      <w:pPr>
        <w:pStyle w:val="Paragraphedeliste"/>
        <w:numPr>
          <w:ilvl w:val="0"/>
          <w:numId w:val="23"/>
        </w:numPr>
        <w:ind w:left="1276"/>
        <w:jc w:val="both"/>
        <w:rPr>
          <w:sz w:val="24"/>
        </w:rPr>
      </w:pPr>
      <w:bookmarkStart w:id="61" w:name="_Toc201229461"/>
      <w:r w:rsidRPr="00F529FC">
        <w:rPr>
          <w:sz w:val="24"/>
        </w:rPr>
        <w:t>œufs ;</w:t>
      </w:r>
      <w:bookmarkEnd w:id="61"/>
    </w:p>
    <w:p w14:paraId="5476962C" w14:textId="77777777" w:rsidR="00852258" w:rsidRPr="00F529FC" w:rsidRDefault="00852258" w:rsidP="00B900C6">
      <w:pPr>
        <w:pStyle w:val="Paragraphedeliste"/>
        <w:numPr>
          <w:ilvl w:val="0"/>
          <w:numId w:val="23"/>
        </w:numPr>
        <w:ind w:left="1276"/>
        <w:jc w:val="both"/>
        <w:rPr>
          <w:sz w:val="24"/>
        </w:rPr>
      </w:pPr>
      <w:bookmarkStart w:id="62" w:name="_Toc201229462"/>
      <w:r w:rsidRPr="00F529FC">
        <w:rPr>
          <w:sz w:val="24"/>
        </w:rPr>
        <w:t>produits laitiers ;</w:t>
      </w:r>
      <w:bookmarkEnd w:id="62"/>
    </w:p>
    <w:p w14:paraId="646BFA29" w14:textId="77777777" w:rsidR="00852258" w:rsidRPr="00F529FC" w:rsidRDefault="00852258" w:rsidP="00B900C6">
      <w:pPr>
        <w:pStyle w:val="Paragraphedeliste"/>
        <w:numPr>
          <w:ilvl w:val="0"/>
          <w:numId w:val="23"/>
        </w:numPr>
        <w:ind w:left="1276"/>
        <w:jc w:val="both"/>
        <w:rPr>
          <w:sz w:val="24"/>
        </w:rPr>
      </w:pPr>
      <w:bookmarkStart w:id="63" w:name="_Toc201229463"/>
      <w:r w:rsidRPr="00F529FC">
        <w:rPr>
          <w:sz w:val="24"/>
        </w:rPr>
        <w:t>plats cuisinés, margarine, pâtes à tartiner ;</w:t>
      </w:r>
      <w:bookmarkEnd w:id="63"/>
    </w:p>
    <w:p w14:paraId="1D68F17B" w14:textId="77777777" w:rsidR="00852258" w:rsidRPr="00F529FC" w:rsidRDefault="00852258" w:rsidP="00B900C6">
      <w:pPr>
        <w:pStyle w:val="Paragraphedeliste"/>
        <w:numPr>
          <w:ilvl w:val="0"/>
          <w:numId w:val="23"/>
        </w:numPr>
        <w:ind w:left="1276"/>
        <w:jc w:val="both"/>
        <w:rPr>
          <w:sz w:val="24"/>
        </w:rPr>
      </w:pPr>
      <w:bookmarkStart w:id="64" w:name="_Toc201229464"/>
      <w:r w:rsidRPr="00F529FC">
        <w:rPr>
          <w:sz w:val="24"/>
        </w:rPr>
        <w:t>chaussures en cuir ;</w:t>
      </w:r>
      <w:bookmarkEnd w:id="64"/>
    </w:p>
    <w:p w14:paraId="5E04B574" w14:textId="77777777" w:rsidR="00852258" w:rsidRPr="00F529FC" w:rsidRDefault="00852258" w:rsidP="00B900C6">
      <w:pPr>
        <w:pStyle w:val="Paragraphedeliste"/>
        <w:numPr>
          <w:ilvl w:val="0"/>
          <w:numId w:val="23"/>
        </w:numPr>
        <w:ind w:left="1276"/>
        <w:jc w:val="both"/>
        <w:rPr>
          <w:sz w:val="24"/>
        </w:rPr>
      </w:pPr>
      <w:bookmarkStart w:id="65" w:name="_Toc201229465"/>
      <w:r w:rsidRPr="00F529FC">
        <w:rPr>
          <w:sz w:val="24"/>
        </w:rPr>
        <w:t>sellerie automobile ;</w:t>
      </w:r>
      <w:bookmarkEnd w:id="65"/>
    </w:p>
    <w:p w14:paraId="75B1FEB3" w14:textId="77777777" w:rsidR="00852258" w:rsidRPr="00F529FC" w:rsidRDefault="00852258" w:rsidP="00B900C6">
      <w:pPr>
        <w:pStyle w:val="Paragraphedeliste"/>
        <w:numPr>
          <w:ilvl w:val="0"/>
          <w:numId w:val="23"/>
        </w:numPr>
        <w:ind w:left="1276"/>
        <w:jc w:val="both"/>
        <w:rPr>
          <w:sz w:val="24"/>
        </w:rPr>
      </w:pPr>
      <w:bookmarkStart w:id="66" w:name="_Toc201229466"/>
      <w:r w:rsidRPr="00F529FC">
        <w:rPr>
          <w:sz w:val="24"/>
        </w:rPr>
        <w:t>produits de ménage et d’entretien ;</w:t>
      </w:r>
      <w:bookmarkEnd w:id="66"/>
    </w:p>
    <w:p w14:paraId="488517E1" w14:textId="77777777" w:rsidR="00852258" w:rsidRPr="00F529FC" w:rsidRDefault="00852258" w:rsidP="00B900C6">
      <w:pPr>
        <w:pStyle w:val="Paragraphedeliste"/>
        <w:numPr>
          <w:ilvl w:val="0"/>
          <w:numId w:val="23"/>
        </w:numPr>
        <w:ind w:left="1276"/>
        <w:jc w:val="both"/>
        <w:rPr>
          <w:sz w:val="24"/>
        </w:rPr>
      </w:pPr>
      <w:bookmarkStart w:id="67" w:name="_Toc201229467"/>
      <w:r w:rsidRPr="00F529FC">
        <w:rPr>
          <w:sz w:val="24"/>
        </w:rPr>
        <w:t>agrocarburants ;</w:t>
      </w:r>
      <w:bookmarkEnd w:id="67"/>
    </w:p>
    <w:p w14:paraId="34F20082" w14:textId="77777777" w:rsidR="00852258" w:rsidRPr="00F529FC" w:rsidRDefault="00852258" w:rsidP="00B900C6">
      <w:pPr>
        <w:pStyle w:val="Paragraphedeliste"/>
        <w:numPr>
          <w:ilvl w:val="0"/>
          <w:numId w:val="23"/>
        </w:numPr>
        <w:ind w:left="1276"/>
        <w:jc w:val="both"/>
        <w:rPr>
          <w:sz w:val="24"/>
        </w:rPr>
      </w:pPr>
      <w:bookmarkStart w:id="68" w:name="_Toc201229468"/>
      <w:r w:rsidRPr="00F529FC">
        <w:rPr>
          <w:sz w:val="24"/>
        </w:rPr>
        <w:t>bois d’œuvre ;</w:t>
      </w:r>
      <w:bookmarkEnd w:id="68"/>
    </w:p>
    <w:p w14:paraId="430A5909" w14:textId="77777777" w:rsidR="00852258" w:rsidRPr="00F529FC" w:rsidRDefault="00852258" w:rsidP="00B900C6">
      <w:pPr>
        <w:pStyle w:val="Paragraphedeliste"/>
        <w:numPr>
          <w:ilvl w:val="0"/>
          <w:numId w:val="23"/>
        </w:numPr>
        <w:ind w:left="1276"/>
        <w:jc w:val="both"/>
        <w:rPr>
          <w:sz w:val="24"/>
        </w:rPr>
      </w:pPr>
      <w:bookmarkStart w:id="69" w:name="_Toc201229469"/>
      <w:r w:rsidRPr="00F529FC">
        <w:rPr>
          <w:sz w:val="24"/>
        </w:rPr>
        <w:t>mobilier en bois massif ou particules ;</w:t>
      </w:r>
      <w:bookmarkEnd w:id="69"/>
    </w:p>
    <w:p w14:paraId="7F0697FD" w14:textId="77777777" w:rsidR="00852258" w:rsidRPr="00F529FC" w:rsidRDefault="00852258" w:rsidP="00B900C6">
      <w:pPr>
        <w:pStyle w:val="Paragraphedeliste"/>
        <w:numPr>
          <w:ilvl w:val="0"/>
          <w:numId w:val="23"/>
        </w:numPr>
        <w:ind w:left="1276"/>
        <w:jc w:val="both"/>
        <w:rPr>
          <w:sz w:val="24"/>
        </w:rPr>
      </w:pPr>
      <w:bookmarkStart w:id="70" w:name="_Toc201229470"/>
      <w:r w:rsidRPr="00F529FC">
        <w:rPr>
          <w:sz w:val="24"/>
        </w:rPr>
        <w:t>combustibles ;</w:t>
      </w:r>
      <w:bookmarkEnd w:id="70"/>
    </w:p>
    <w:p w14:paraId="3B01D06D" w14:textId="77777777" w:rsidR="00852258" w:rsidRPr="00F529FC" w:rsidRDefault="00852258" w:rsidP="00B900C6">
      <w:pPr>
        <w:pStyle w:val="Paragraphedeliste"/>
        <w:numPr>
          <w:ilvl w:val="0"/>
          <w:numId w:val="23"/>
        </w:numPr>
        <w:ind w:left="1276"/>
        <w:jc w:val="both"/>
        <w:rPr>
          <w:sz w:val="24"/>
        </w:rPr>
      </w:pPr>
      <w:bookmarkStart w:id="71" w:name="_Toc201229471"/>
      <w:r w:rsidRPr="00F529FC">
        <w:rPr>
          <w:sz w:val="24"/>
        </w:rPr>
        <w:t>papier ;</w:t>
      </w:r>
      <w:bookmarkEnd w:id="71"/>
    </w:p>
    <w:p w14:paraId="4FA5C7D4" w14:textId="77777777" w:rsidR="00852258" w:rsidRPr="00F529FC" w:rsidRDefault="00852258" w:rsidP="00B900C6">
      <w:pPr>
        <w:pStyle w:val="Paragraphedeliste"/>
        <w:numPr>
          <w:ilvl w:val="0"/>
          <w:numId w:val="23"/>
        </w:numPr>
        <w:ind w:left="1276"/>
        <w:jc w:val="both"/>
        <w:rPr>
          <w:sz w:val="24"/>
        </w:rPr>
      </w:pPr>
      <w:bookmarkStart w:id="72" w:name="_Toc201229472"/>
      <w:r w:rsidRPr="00F529FC">
        <w:rPr>
          <w:sz w:val="24"/>
        </w:rPr>
        <w:t>carton ;</w:t>
      </w:r>
      <w:bookmarkEnd w:id="72"/>
    </w:p>
    <w:p w14:paraId="25EFEEE0" w14:textId="77777777" w:rsidR="00852258" w:rsidRPr="00F529FC" w:rsidRDefault="00852258" w:rsidP="00B900C6">
      <w:pPr>
        <w:pStyle w:val="Paragraphedeliste"/>
        <w:numPr>
          <w:ilvl w:val="0"/>
          <w:numId w:val="23"/>
        </w:numPr>
        <w:ind w:left="1276"/>
        <w:jc w:val="both"/>
        <w:rPr>
          <w:sz w:val="24"/>
        </w:rPr>
      </w:pPr>
      <w:bookmarkStart w:id="73" w:name="_Toc201229473"/>
      <w:r w:rsidRPr="00F529FC">
        <w:rPr>
          <w:sz w:val="24"/>
        </w:rPr>
        <w:t>textile ;</w:t>
      </w:r>
      <w:bookmarkEnd w:id="73"/>
    </w:p>
    <w:p w14:paraId="00ABDF92" w14:textId="77777777" w:rsidR="00852258" w:rsidRPr="00F529FC" w:rsidRDefault="00852258" w:rsidP="00B900C6">
      <w:pPr>
        <w:pStyle w:val="Paragraphedeliste"/>
        <w:numPr>
          <w:ilvl w:val="0"/>
          <w:numId w:val="23"/>
        </w:numPr>
        <w:ind w:left="1276"/>
        <w:jc w:val="both"/>
        <w:rPr>
          <w:sz w:val="24"/>
        </w:rPr>
      </w:pPr>
      <w:bookmarkStart w:id="74" w:name="_Toc201229474"/>
      <w:r w:rsidRPr="00F529FC">
        <w:rPr>
          <w:sz w:val="24"/>
        </w:rPr>
        <w:t>café, chocolat ;</w:t>
      </w:r>
      <w:bookmarkEnd w:id="74"/>
    </w:p>
    <w:p w14:paraId="5CAC8F7F" w14:textId="77777777" w:rsidR="00852258" w:rsidRPr="00F529FC" w:rsidRDefault="00852258" w:rsidP="00B900C6">
      <w:pPr>
        <w:pStyle w:val="Paragraphedeliste"/>
        <w:numPr>
          <w:ilvl w:val="0"/>
          <w:numId w:val="23"/>
        </w:numPr>
        <w:ind w:left="1276"/>
        <w:jc w:val="both"/>
        <w:rPr>
          <w:sz w:val="24"/>
        </w:rPr>
      </w:pPr>
      <w:bookmarkStart w:id="75" w:name="_Toc201229475"/>
      <w:r w:rsidRPr="00F529FC">
        <w:rPr>
          <w:sz w:val="24"/>
        </w:rPr>
        <w:t>fruits exotiques ;</w:t>
      </w:r>
      <w:bookmarkEnd w:id="75"/>
    </w:p>
    <w:p w14:paraId="6309E276" w14:textId="77777777" w:rsidR="00852258" w:rsidRPr="00F529FC" w:rsidRDefault="00852258" w:rsidP="00B900C6">
      <w:pPr>
        <w:pStyle w:val="Paragraphedeliste"/>
        <w:numPr>
          <w:ilvl w:val="0"/>
          <w:numId w:val="23"/>
        </w:numPr>
        <w:ind w:left="1276"/>
        <w:jc w:val="both"/>
        <w:rPr>
          <w:sz w:val="24"/>
        </w:rPr>
      </w:pPr>
      <w:bookmarkStart w:id="76" w:name="_Toc201229476"/>
      <w:r w:rsidRPr="00F529FC">
        <w:rPr>
          <w:sz w:val="24"/>
        </w:rPr>
        <w:t>électronique.</w:t>
      </w:r>
      <w:bookmarkEnd w:id="76"/>
    </w:p>
    <w:p w14:paraId="0D41C0AE" w14:textId="77777777" w:rsidR="001F2DDA" w:rsidRPr="00F529FC" w:rsidRDefault="00852258" w:rsidP="00B900C6">
      <w:pPr>
        <w:pStyle w:val="Paragraphedeliste"/>
        <w:numPr>
          <w:ilvl w:val="0"/>
          <w:numId w:val="23"/>
        </w:numPr>
        <w:ind w:left="1276"/>
        <w:jc w:val="both"/>
        <w:rPr>
          <w:sz w:val="24"/>
        </w:rPr>
      </w:pPr>
      <w:bookmarkStart w:id="77" w:name="_Toc201229477"/>
      <w:r w:rsidRPr="00F529FC">
        <w:rPr>
          <w:sz w:val="24"/>
        </w:rPr>
        <w:t>Pour plus d’informations, le guide </w:t>
      </w:r>
      <w:r w:rsidRPr="00F529FC">
        <w:rPr>
          <w:i/>
          <w:sz w:val="24"/>
        </w:rPr>
        <w:t>S’engager dans une politique d’achat public « Zéro déforestation »</w:t>
      </w:r>
      <w:r w:rsidR="00AD6E51" w:rsidRPr="00F529FC">
        <w:rPr>
          <w:i/>
          <w:sz w:val="24"/>
        </w:rPr>
        <w:t> </w:t>
      </w:r>
      <w:r w:rsidR="00AD6E51" w:rsidRPr="00F529FC">
        <w:rPr>
          <w:sz w:val="24"/>
        </w:rPr>
        <w:t>est </w:t>
      </w:r>
      <w:r w:rsidRPr="00F529FC">
        <w:rPr>
          <w:sz w:val="24"/>
        </w:rPr>
        <w:t>accessible à l’adresse électronique suivante :</w:t>
      </w:r>
      <w:bookmarkEnd w:id="77"/>
      <w:r w:rsidRPr="00F529FC">
        <w:rPr>
          <w:sz w:val="24"/>
        </w:rPr>
        <w:t> </w:t>
      </w:r>
    </w:p>
    <w:p w14:paraId="2E8997B2" w14:textId="77777777" w:rsidR="00852258" w:rsidRPr="00F529FC" w:rsidRDefault="00E07ACB" w:rsidP="00B900C6">
      <w:pPr>
        <w:pStyle w:val="Paragraphedeliste"/>
        <w:numPr>
          <w:ilvl w:val="0"/>
          <w:numId w:val="23"/>
        </w:numPr>
        <w:ind w:left="1276"/>
        <w:jc w:val="both"/>
        <w:rPr>
          <w:sz w:val="24"/>
        </w:rPr>
      </w:pPr>
      <w:hyperlink r:id="rId22" w:history="1">
        <w:bookmarkStart w:id="78" w:name="_Toc201229478"/>
        <w:r w:rsidR="00852258" w:rsidRPr="00F529FC">
          <w:rPr>
            <w:rStyle w:val="Lienhypertexte"/>
            <w:bCs/>
            <w:sz w:val="24"/>
          </w:rPr>
          <w:t>https://www.ecologie.gouv.fr/sites/default/files/Guide_politique_achat_public_zero_deforestation.pdf</w:t>
        </w:r>
        <w:bookmarkEnd w:id="78"/>
      </w:hyperlink>
    </w:p>
    <w:p w14:paraId="6F8D6240" w14:textId="77777777" w:rsidR="006F74D3" w:rsidRPr="00273F95" w:rsidRDefault="006F74D3" w:rsidP="001C5A6B">
      <w:pPr>
        <w:spacing w:before="0" w:beforeAutospacing="0" w:after="0" w:afterAutospacing="0"/>
        <w:jc w:val="both"/>
        <w:rPr>
          <w:sz w:val="24"/>
        </w:rPr>
      </w:pPr>
    </w:p>
    <w:p w14:paraId="1DFF223F" w14:textId="77777777" w:rsidR="00393A80" w:rsidRPr="00860F96" w:rsidRDefault="00393A80" w:rsidP="001C5A6B">
      <w:pPr>
        <w:pStyle w:val="Titre2"/>
        <w:spacing w:before="0" w:beforeAutospacing="0"/>
      </w:pPr>
      <w:bookmarkStart w:id="79" w:name="_Toc201229479"/>
      <w:bookmarkStart w:id="80" w:name="_Toc201856543"/>
      <w:r w:rsidRPr="00860F96">
        <w:lastRenderedPageBreak/>
        <w:t>Article II.2 – Moyens de communication</w:t>
      </w:r>
      <w:bookmarkEnd w:id="79"/>
      <w:bookmarkEnd w:id="80"/>
      <w:r w:rsidRPr="00860F96">
        <w:t xml:space="preserve"> </w:t>
      </w:r>
    </w:p>
    <w:p w14:paraId="5FD17B10"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 xml:space="preserve">Toute communication relative au CC ou à son exécution est effectuée par écrit et mentionne le numéro du CC et, le cas échéant, le numéro du bon de commande ou du </w:t>
      </w:r>
      <w:r w:rsidR="00885E85">
        <w:rPr>
          <w:sz w:val="24"/>
        </w:rPr>
        <w:t>marché subséquent</w:t>
      </w:r>
      <w:r w:rsidRPr="00A34B7F">
        <w:rPr>
          <w:sz w:val="24"/>
        </w:rPr>
        <w:t>. Toute communication est réputée effectuée lors de sa réception par la partie dest</w:t>
      </w:r>
      <w:r w:rsidRPr="00AD7976">
        <w:rPr>
          <w:sz w:val="24"/>
        </w:rPr>
        <w:t xml:space="preserve">inataire, sauf si le présent CC en dispose autrement. </w:t>
      </w:r>
    </w:p>
    <w:p w14:paraId="026B0D27"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5FE439B4"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186927F" w14:textId="77777777"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32AEF664"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7D2F3583" w14:textId="77777777" w:rsidR="00393A80" w:rsidRPr="00E626C2" w:rsidRDefault="00393A80" w:rsidP="00393A80">
      <w:pPr>
        <w:pStyle w:val="Titre2"/>
      </w:pPr>
      <w:bookmarkStart w:id="81" w:name="_Toc201229480"/>
      <w:bookmarkStart w:id="82" w:name="_Toc201856544"/>
      <w:r w:rsidRPr="00E626C2">
        <w:t>Article II. 3 – Responsabilité</w:t>
      </w:r>
      <w:bookmarkEnd w:id="81"/>
      <w:bookmarkEnd w:id="82"/>
    </w:p>
    <w:p w14:paraId="1724E4F8"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7D70B3AA" w14:textId="77777777"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67A97C16" w14:textId="77777777"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w:t>
      </w:r>
      <w:r w:rsidR="00885E85">
        <w:rPr>
          <w:sz w:val="24"/>
        </w:rPr>
        <w:t>marché subséquent</w:t>
      </w:r>
      <w:r w:rsidRPr="00E626C2">
        <w:rPr>
          <w:sz w:val="24"/>
        </w:rPr>
        <w:t xml:space="preserve"> correspondant. Néanmoins, si le dommage ou la perte est imputable à une faute grave ou une faute intentionnelle du contractant, de son personnel ou de ses sous-traitants, le contractant est responsable sans limitation du montant du dommage ou de la perte.</w:t>
      </w:r>
    </w:p>
    <w:p w14:paraId="6C0A5798" w14:textId="77777777"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w:t>
      </w:r>
      <w:r w:rsidR="00944187" w:rsidRPr="00E264DF">
        <w:rPr>
          <w:sz w:val="24"/>
        </w:rPr>
        <w:lastRenderedPageBreak/>
        <w:t xml:space="preserve">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63CF48DE" w14:textId="77777777"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222B6729" w14:textId="77777777" w:rsidR="00393A80" w:rsidRPr="004E4DE0" w:rsidRDefault="00393A80" w:rsidP="00393A80">
      <w:pPr>
        <w:pStyle w:val="Titre2"/>
      </w:pPr>
      <w:bookmarkStart w:id="83" w:name="_Toc201229481"/>
      <w:bookmarkStart w:id="84" w:name="_Toc201856545"/>
      <w:r w:rsidRPr="004E4DE0">
        <w:t>Article II.4 - Conflits d'intérêts</w:t>
      </w:r>
      <w:r w:rsidR="004F5AA2">
        <w:t>, Ethique</w:t>
      </w:r>
      <w:bookmarkEnd w:id="83"/>
      <w:bookmarkEnd w:id="84"/>
    </w:p>
    <w:p w14:paraId="762142B1"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75088658" w14:textId="77777777"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6316DC85"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7F16D293"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29993FB3" w14:textId="77777777" w:rsidR="00754B8C" w:rsidRPr="00A72594" w:rsidRDefault="0085635D" w:rsidP="00F0290D">
      <w:pPr>
        <w:ind w:left="851"/>
        <w:jc w:val="both"/>
        <w:rPr>
          <w:sz w:val="24"/>
        </w:rPr>
      </w:pPr>
      <w:r w:rsidRPr="004E4DE0">
        <w:rPr>
          <w:b/>
          <w:noProof/>
          <w:sz w:val="24"/>
        </w:rPr>
        <w:lastRenderedPageBreak/>
        <w:t>II.4.</w:t>
      </w:r>
      <w:r w:rsidR="00C81D9F">
        <w:rPr>
          <w:b/>
          <w:noProof/>
          <w:sz w:val="24"/>
        </w:rPr>
        <w:t>5</w:t>
      </w:r>
      <w:r>
        <w:rPr>
          <w:b/>
          <w:noProof/>
          <w:sz w:val="24"/>
        </w:rPr>
        <w:tab/>
      </w:r>
      <w:r w:rsidRPr="00A72594">
        <w:rPr>
          <w:sz w:val="24"/>
        </w:rPr>
        <w:t xml:space="preserve">Le contractant s’engage également à prendre connaissance du </w:t>
      </w:r>
      <w:hyperlink r:id="rId23"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4" w:history="1">
        <w:r w:rsidR="00754B8C" w:rsidRPr="001245F9">
          <w:rPr>
            <w:rStyle w:val="Lienhypertexte"/>
            <w:sz w:val="24"/>
          </w:rPr>
          <w:t>www.expertisefrance.fr</w:t>
        </w:r>
      </w:hyperlink>
      <w:r w:rsidRPr="00A72594">
        <w:rPr>
          <w:sz w:val="24"/>
        </w:rPr>
        <w:t>).</w:t>
      </w:r>
    </w:p>
    <w:p w14:paraId="772D77E3" w14:textId="77777777" w:rsidR="00754B8C" w:rsidRPr="00754B8C" w:rsidRDefault="00393A80">
      <w:pPr>
        <w:pStyle w:val="Titre2"/>
      </w:pPr>
      <w:bookmarkStart w:id="85" w:name="_Toc201229482"/>
      <w:bookmarkStart w:id="86" w:name="_Toc201856546"/>
      <w:r w:rsidRPr="004E4DE0">
        <w:t>Article II.</w:t>
      </w:r>
      <w:r w:rsidR="00EC72A5">
        <w:t>5</w:t>
      </w:r>
      <w:r w:rsidRPr="004E4DE0">
        <w:t>– Confidentialité</w:t>
      </w:r>
      <w:bookmarkEnd w:id="85"/>
      <w:bookmarkEnd w:id="86"/>
    </w:p>
    <w:p w14:paraId="265D32B5" w14:textId="7777777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606F0B51" w14:textId="77777777" w:rsidR="00393A80" w:rsidRPr="004E4DE0" w:rsidRDefault="00393A80" w:rsidP="001C5A6B">
      <w:pPr>
        <w:ind w:left="993" w:hanging="142"/>
        <w:jc w:val="both"/>
        <w:rPr>
          <w:sz w:val="24"/>
        </w:rPr>
      </w:pPr>
      <w:r w:rsidRPr="004E4DE0">
        <w:rPr>
          <w:sz w:val="24"/>
        </w:rPr>
        <w:t>Le contractant est tenu:</w:t>
      </w:r>
    </w:p>
    <w:p w14:paraId="1F11F9CB" w14:textId="77777777"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w:t>
      </w:r>
      <w:r w:rsidR="00885E85">
        <w:rPr>
          <w:sz w:val="24"/>
        </w:rPr>
        <w:t>marché subséquent</w:t>
      </w:r>
      <w:r w:rsidRPr="004E4DE0">
        <w:rPr>
          <w:sz w:val="24"/>
        </w:rPr>
        <w:t xml:space="preserve"> sans l'accord préalable écrit </w:t>
      </w:r>
      <w:r w:rsidR="00DD3512">
        <w:rPr>
          <w:sz w:val="24"/>
        </w:rPr>
        <w:t>d’Expertise France</w:t>
      </w:r>
      <w:r w:rsidRPr="004E4DE0">
        <w:rPr>
          <w:sz w:val="24"/>
        </w:rPr>
        <w:t xml:space="preserve">; </w:t>
      </w:r>
    </w:p>
    <w:p w14:paraId="0FA8B2A5"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55DA2BDF" w14:textId="77777777"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2DD1F23D" w14:textId="7777777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6A46DB09"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B4DD00C"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333325CA"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4C3D9085" w14:textId="77777777"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w:t>
      </w:r>
      <w:r w:rsidR="00885E85">
        <w:rPr>
          <w:sz w:val="24"/>
        </w:rPr>
        <w:t>marché subséquent</w:t>
      </w:r>
      <w:r w:rsidRPr="004E4DE0">
        <w:rPr>
          <w:sz w:val="24"/>
        </w:rPr>
        <w:t xml:space="preserve">, l'engagement qu'ils se conformeront </w:t>
      </w:r>
      <w:r w:rsidRPr="00C500FA">
        <w:rPr>
          <w:sz w:val="24"/>
        </w:rPr>
        <w:t>à l'obligation de confidentialité prévue à l'article II.5.1.</w:t>
      </w:r>
    </w:p>
    <w:p w14:paraId="70DE2BDC" w14:textId="77777777" w:rsidR="00393A80" w:rsidRPr="00C500FA" w:rsidRDefault="00393A80" w:rsidP="00393A80">
      <w:pPr>
        <w:pStyle w:val="Titre2"/>
      </w:pPr>
      <w:bookmarkStart w:id="87" w:name="_Toc201229483"/>
      <w:bookmarkStart w:id="88" w:name="_Toc201856547"/>
      <w:r w:rsidRPr="00C500FA">
        <w:lastRenderedPageBreak/>
        <w:t>Article II.6 – Traitement des données à caractère personnel</w:t>
      </w:r>
      <w:bookmarkEnd w:id="87"/>
      <w:bookmarkEnd w:id="88"/>
      <w:r w:rsidRPr="00C500FA">
        <w:t xml:space="preserve"> </w:t>
      </w:r>
    </w:p>
    <w:p w14:paraId="16458631" w14:textId="77777777"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0439D59A" w14:textId="77777777"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39C43995" w14:textId="77777777" w:rsidR="00454406" w:rsidRPr="00A72594" w:rsidRDefault="00454406" w:rsidP="00B900C6">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37E1CB4B" w14:textId="77777777" w:rsidR="00454406" w:rsidRPr="00A72594" w:rsidRDefault="00454406" w:rsidP="00B900C6">
      <w:pPr>
        <w:pStyle w:val="Paragraphedeliste"/>
        <w:widowControl w:val="0"/>
        <w:numPr>
          <w:ilvl w:val="0"/>
          <w:numId w:val="7"/>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C40BEA1" w14:textId="77777777"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0ADE2426" w14:textId="77777777" w:rsidR="00454406" w:rsidRPr="00100468" w:rsidRDefault="00454406" w:rsidP="00B900C6">
      <w:pPr>
        <w:pStyle w:val="Paragraphedeliste"/>
        <w:widowControl w:val="0"/>
        <w:numPr>
          <w:ilvl w:val="0"/>
          <w:numId w:val="7"/>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071D6A73" w14:textId="77777777" w:rsidR="00454406" w:rsidRPr="00100468" w:rsidRDefault="00454406" w:rsidP="00B900C6">
      <w:pPr>
        <w:pStyle w:val="Paragraphedeliste"/>
        <w:widowControl w:val="0"/>
        <w:numPr>
          <w:ilvl w:val="0"/>
          <w:numId w:val="7"/>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E896A70" w14:textId="77777777"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48C5080E" w14:textId="77777777"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49D2D1DC" w14:textId="77777777"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5" w:history="1">
        <w:r w:rsidR="00454406" w:rsidRPr="00100468">
          <w:rPr>
            <w:sz w:val="24"/>
          </w:rPr>
          <w:t>informatique.libertes@expertisefrance.fr</w:t>
        </w:r>
      </w:hyperlink>
      <w:r w:rsidR="00454406" w:rsidRPr="00100468">
        <w:rPr>
          <w:sz w:val="24"/>
        </w:rPr>
        <w:t>)</w:t>
      </w:r>
      <w:r w:rsidR="00B4317A">
        <w:rPr>
          <w:sz w:val="24"/>
        </w:rPr>
        <w:t>.</w:t>
      </w:r>
    </w:p>
    <w:p w14:paraId="37C9B76B" w14:textId="77777777"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508E5D2F" w14:textId="77777777"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 xml:space="preserve">es parties s’engagent à respecter la réglementation en vigueur </w:t>
      </w:r>
      <w:r w:rsidR="00454406" w:rsidRPr="00100468">
        <w:rPr>
          <w:noProof/>
          <w:sz w:val="24"/>
        </w:rPr>
        <w:lastRenderedPageBreak/>
        <w:t>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0099C1B3" w14:textId="77777777"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25A8998A" w14:textId="77777777" w:rsidR="00454406" w:rsidRPr="00100468" w:rsidRDefault="00454406" w:rsidP="00B900C6">
      <w:pPr>
        <w:pStyle w:val="Paragraphedeliste"/>
        <w:widowControl w:val="0"/>
        <w:numPr>
          <w:ilvl w:val="0"/>
          <w:numId w:val="12"/>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50170EBC" w14:textId="77777777" w:rsidR="00454406" w:rsidRPr="00100468" w:rsidRDefault="00454406" w:rsidP="00B900C6">
      <w:pPr>
        <w:pStyle w:val="Paragraphedeliste"/>
        <w:widowControl w:val="0"/>
        <w:numPr>
          <w:ilvl w:val="0"/>
          <w:numId w:val="12"/>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F9D3234" w14:textId="77777777" w:rsidR="00454406" w:rsidRPr="00100468" w:rsidRDefault="00454406" w:rsidP="00B900C6">
      <w:pPr>
        <w:pStyle w:val="Paragraphedeliste"/>
        <w:widowControl w:val="0"/>
        <w:numPr>
          <w:ilvl w:val="0"/>
          <w:numId w:val="12"/>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6C9BC643" w14:textId="77777777" w:rsidR="00454406" w:rsidRPr="00100468" w:rsidRDefault="00454406" w:rsidP="00B900C6">
      <w:pPr>
        <w:pStyle w:val="Paragraphedeliste"/>
        <w:widowControl w:val="0"/>
        <w:numPr>
          <w:ilvl w:val="0"/>
          <w:numId w:val="12"/>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2F11DC38" w14:textId="77777777" w:rsidR="00454406" w:rsidRPr="00100468" w:rsidRDefault="00454406" w:rsidP="00B900C6">
      <w:pPr>
        <w:pStyle w:val="Paragraphedeliste"/>
        <w:widowControl w:val="0"/>
        <w:numPr>
          <w:ilvl w:val="0"/>
          <w:numId w:val="12"/>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5B3A2F20" w14:textId="77777777" w:rsidR="00454406" w:rsidRPr="00100468" w:rsidRDefault="00454406" w:rsidP="00B900C6">
      <w:pPr>
        <w:pStyle w:val="Paragraphedeliste"/>
        <w:widowControl w:val="0"/>
        <w:numPr>
          <w:ilvl w:val="0"/>
          <w:numId w:val="12"/>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622ED635" w14:textId="77777777" w:rsidR="00454406" w:rsidRPr="00100468" w:rsidRDefault="00454406" w:rsidP="00B900C6">
      <w:pPr>
        <w:pStyle w:val="Paragraphedeliste"/>
        <w:widowControl w:val="0"/>
        <w:numPr>
          <w:ilvl w:val="0"/>
          <w:numId w:val="12"/>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39DCAB90" w14:textId="77777777"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61AE73E6" w14:textId="77777777"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7CA12E6B" w14:textId="77777777" w:rsidR="00393A80" w:rsidRPr="00C500FA" w:rsidRDefault="00B4317A" w:rsidP="00090180">
      <w:pPr>
        <w:pStyle w:val="Commentaire"/>
        <w:ind w:left="851" w:hanging="851"/>
        <w:jc w:val="both"/>
        <w:rPr>
          <w:sz w:val="24"/>
        </w:rPr>
      </w:pPr>
      <w:r>
        <w:rPr>
          <w:b/>
          <w:noProof/>
          <w:sz w:val="24"/>
        </w:rPr>
        <w:lastRenderedPageBreak/>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4E7EC657" w14:textId="77777777" w:rsidR="00393A80" w:rsidRPr="00584AE8" w:rsidRDefault="00393A80" w:rsidP="00393A80">
      <w:pPr>
        <w:pStyle w:val="Titre2"/>
      </w:pPr>
      <w:bookmarkStart w:id="89" w:name="_Toc201229484"/>
      <w:bookmarkStart w:id="90" w:name="_Toc201856548"/>
      <w:r w:rsidRPr="00584AE8">
        <w:t>Article II.</w:t>
      </w:r>
      <w:r w:rsidR="00EC72A5">
        <w:t>7</w:t>
      </w:r>
      <w:r w:rsidRPr="00584AE8">
        <w:t>– Sous-traitance</w:t>
      </w:r>
      <w:bookmarkEnd w:id="89"/>
      <w:bookmarkEnd w:id="90"/>
    </w:p>
    <w:p w14:paraId="708BE107" w14:textId="77777777"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4144B930" w14:textId="77777777"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048132CB" w14:textId="77777777"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B864CBE" w14:textId="77777777" w:rsidR="00393A80" w:rsidRPr="00584AE8" w:rsidRDefault="00393A80" w:rsidP="00393A80">
      <w:pPr>
        <w:pStyle w:val="Titre2"/>
      </w:pPr>
      <w:bookmarkStart w:id="91" w:name="_Toc201229485"/>
      <w:bookmarkStart w:id="92" w:name="_Toc201856549"/>
      <w:r w:rsidRPr="00584AE8">
        <w:t>Article II.</w:t>
      </w:r>
      <w:r w:rsidR="00EC72A5">
        <w:t>8</w:t>
      </w:r>
      <w:r w:rsidR="00836A77" w:rsidRPr="00584AE8">
        <w:t xml:space="preserve"> </w:t>
      </w:r>
      <w:r w:rsidRPr="00584AE8">
        <w:t>–Avenants</w:t>
      </w:r>
      <w:bookmarkEnd w:id="91"/>
      <w:bookmarkEnd w:id="92"/>
    </w:p>
    <w:p w14:paraId="1A3AFB4E" w14:textId="77777777"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 xml:space="preserve">Tout avenant au CC, au bon de commande ou au </w:t>
      </w:r>
      <w:r w:rsidR="00885E85">
        <w:rPr>
          <w:sz w:val="24"/>
        </w:rPr>
        <w:t>marché subséquent</w:t>
      </w:r>
      <w:r w:rsidRPr="00584AE8">
        <w:rPr>
          <w:sz w:val="24"/>
        </w:rPr>
        <w:t xml:space="preserve"> est établi par écrit avant l'exécution de toute obligation contractuelle. Un bon de commande ou un </w:t>
      </w:r>
      <w:r w:rsidR="00885E85">
        <w:rPr>
          <w:sz w:val="24"/>
        </w:rPr>
        <w:t>marché subséquent</w:t>
      </w:r>
      <w:r w:rsidRPr="00584AE8">
        <w:rPr>
          <w:sz w:val="24"/>
        </w:rPr>
        <w:t xml:space="preserve"> ne peut être considéré comme un avenant au CC.</w:t>
      </w:r>
    </w:p>
    <w:p w14:paraId="63C79090" w14:textId="77777777"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 xml:space="preserve">L'avenant ne peut avoir pour objet ou pour effet d'apporter au CC, au bon de commande ou au </w:t>
      </w:r>
      <w:r w:rsidR="00885E85">
        <w:rPr>
          <w:sz w:val="24"/>
        </w:rPr>
        <w:t>marché subséquent</w:t>
      </w:r>
      <w:r w:rsidRPr="00584AE8">
        <w:rPr>
          <w:sz w:val="24"/>
        </w:rPr>
        <w:t xml:space="preserve"> des modifications susceptibles de remettre en cause la décision d'attribution du CC, du bon de commande ou du </w:t>
      </w:r>
      <w:r w:rsidR="00885E85">
        <w:rPr>
          <w:sz w:val="24"/>
        </w:rPr>
        <w:t>marché subséquent</w:t>
      </w:r>
      <w:r w:rsidRPr="00584AE8">
        <w:rPr>
          <w:sz w:val="24"/>
        </w:rPr>
        <w:t>, ni de donner lieu à une inégalité de traitement entre soumissionnaires ou contractants.</w:t>
      </w:r>
    </w:p>
    <w:p w14:paraId="7A01CB1C" w14:textId="77777777" w:rsidR="00393A80" w:rsidRPr="00584AE8" w:rsidRDefault="00393A80" w:rsidP="00393A80">
      <w:pPr>
        <w:pStyle w:val="Titre2"/>
        <w:rPr>
          <w:color w:val="000000"/>
        </w:rPr>
      </w:pPr>
      <w:bookmarkStart w:id="93" w:name="_Toc201229486"/>
      <w:bookmarkStart w:id="94" w:name="_Toc201856550"/>
      <w:r w:rsidRPr="00584AE8">
        <w:t>Article II.</w:t>
      </w:r>
      <w:r w:rsidR="00EC72A5">
        <w:t>9</w:t>
      </w:r>
      <w:r w:rsidRPr="00584AE8">
        <w:t>– Cession</w:t>
      </w:r>
      <w:bookmarkEnd w:id="93"/>
      <w:bookmarkEnd w:id="94"/>
    </w:p>
    <w:p w14:paraId="31D9F978" w14:textId="77777777"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24433A8" w14:textId="77777777"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5D7E7D4F" w14:textId="77777777" w:rsidR="00393A80" w:rsidRPr="00584AE8" w:rsidRDefault="00393A80" w:rsidP="00393A80">
      <w:pPr>
        <w:pStyle w:val="Titre2"/>
      </w:pPr>
      <w:bookmarkStart w:id="95" w:name="_Toc201229487"/>
      <w:bookmarkStart w:id="96" w:name="_Toc201856551"/>
      <w:r w:rsidRPr="00584AE8">
        <w:lastRenderedPageBreak/>
        <w:t>Article II.</w:t>
      </w:r>
      <w:r w:rsidR="00EC72A5">
        <w:t>10</w:t>
      </w:r>
      <w:r w:rsidRPr="00584AE8">
        <w:t>– Propriété des résultats – Droits de propriété intellectuelle et industrielle</w:t>
      </w:r>
      <w:bookmarkEnd w:id="95"/>
      <w:bookmarkEnd w:id="96"/>
    </w:p>
    <w:p w14:paraId="589A3243" w14:textId="77777777" w:rsidR="00393A80" w:rsidRPr="00584AE8" w:rsidRDefault="00393A80" w:rsidP="000B12BC">
      <w:pPr>
        <w:pStyle w:val="Heading3contract"/>
      </w:pPr>
      <w:r w:rsidRPr="00584AE8">
        <w:t>II.</w:t>
      </w:r>
      <w:r w:rsidR="00EC72A5">
        <w:t>10</w:t>
      </w:r>
      <w:r w:rsidRPr="00584AE8">
        <w:t>.1</w:t>
      </w:r>
      <w:r w:rsidRPr="00584AE8">
        <w:tab/>
        <w:t>Définitions</w:t>
      </w:r>
    </w:p>
    <w:p w14:paraId="2E872A21" w14:textId="77777777" w:rsidR="00393A80" w:rsidRPr="00117326" w:rsidRDefault="00393A80" w:rsidP="00393A80">
      <w:pPr>
        <w:spacing w:after="120"/>
        <w:jc w:val="both"/>
        <w:rPr>
          <w:sz w:val="24"/>
        </w:rPr>
      </w:pPr>
      <w:r w:rsidRPr="00117326">
        <w:rPr>
          <w:sz w:val="24"/>
        </w:rPr>
        <w:t>Les définitions suivantes s'appliquent au présent CC:</w:t>
      </w:r>
    </w:p>
    <w:p w14:paraId="1267FC26" w14:textId="77777777" w:rsidR="00393A80" w:rsidRPr="00442D03" w:rsidRDefault="00393A80" w:rsidP="00393A80">
      <w:pPr>
        <w:spacing w:after="120"/>
        <w:jc w:val="both"/>
        <w:rPr>
          <w:sz w:val="24"/>
        </w:rPr>
      </w:pPr>
      <w:r w:rsidRPr="00117326">
        <w:rPr>
          <w:sz w:val="24"/>
        </w:rPr>
        <w:t xml:space="preserve">1) on entend </w:t>
      </w:r>
      <w:r w:rsidRPr="00442D03">
        <w:rPr>
          <w:sz w:val="24"/>
        </w:rPr>
        <w:t xml:space="preserve">par «résultats» tout produit escompté de l'exécution du CC qui est livré et qui fait l'objet d'une acceptation définitive de la part </w:t>
      </w:r>
      <w:r w:rsidR="00DD3512">
        <w:rPr>
          <w:sz w:val="24"/>
        </w:rPr>
        <w:t>d’Expertise France</w:t>
      </w:r>
      <w:r w:rsidRPr="00442D03">
        <w:rPr>
          <w:sz w:val="24"/>
        </w:rPr>
        <w:t xml:space="preserve">; </w:t>
      </w:r>
    </w:p>
    <w:p w14:paraId="3A40EE36" w14:textId="77777777" w:rsidR="00393A80" w:rsidRPr="00E82F2E" w:rsidRDefault="00393A80" w:rsidP="00393A80">
      <w:pPr>
        <w:spacing w:after="120"/>
        <w:jc w:val="both"/>
        <w:rPr>
          <w:sz w:val="24"/>
        </w:rPr>
      </w:pPr>
      <w:r w:rsidRPr="00E82F2E">
        <w:rPr>
          <w:sz w:val="24"/>
        </w:rPr>
        <w:t xml:space="preserve">2) on entend par «auteur» toute personne physique qui a contribué à la production du résultat, y compris le personnel </w:t>
      </w:r>
      <w:r w:rsidR="00DD3512">
        <w:rPr>
          <w:sz w:val="24"/>
        </w:rPr>
        <w:t>d’Expertise France</w:t>
      </w:r>
      <w:r w:rsidRPr="00E82F2E">
        <w:rPr>
          <w:sz w:val="24"/>
        </w:rPr>
        <w:t xml:space="preserve"> ou d'un tiers; </w:t>
      </w:r>
    </w:p>
    <w:p w14:paraId="67FF4E21" w14:textId="77777777" w:rsidR="00393A80" w:rsidRPr="00AD7976" w:rsidRDefault="00393A80" w:rsidP="00393A80">
      <w:pPr>
        <w:spacing w:after="120"/>
        <w:jc w:val="both"/>
      </w:pPr>
      <w:r w:rsidRPr="00860F96">
        <w:rPr>
          <w:sz w:val="24"/>
        </w:rPr>
        <w:t>3) on entend par «droits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486530E3" w14:textId="77777777" w:rsidR="00393A80" w:rsidRPr="00442D03" w:rsidRDefault="00393A80" w:rsidP="000B12BC">
      <w:pPr>
        <w:pStyle w:val="Heading3contract"/>
      </w:pPr>
      <w:r w:rsidRPr="00442D03">
        <w:t>II.</w:t>
      </w:r>
      <w:r w:rsidR="00EC72A5">
        <w:t>10</w:t>
      </w:r>
      <w:r w:rsidRPr="00442D03">
        <w:t>.2</w:t>
      </w:r>
      <w:r w:rsidRPr="00442D03">
        <w:tab/>
        <w:t>Propriété des résultats</w:t>
      </w:r>
    </w:p>
    <w:p w14:paraId="6D1159B1" w14:textId="77777777"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w:t>
      </w:r>
      <w:r w:rsidR="00885E85">
        <w:rPr>
          <w:sz w:val="24"/>
        </w:rPr>
        <w:t>marchés subséquents</w:t>
      </w:r>
      <w:r w:rsidRPr="00A34B7F">
        <w:rPr>
          <w:sz w:val="24"/>
        </w:rPr>
        <w:t>.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w:t>
      </w:r>
      <w:r w:rsidR="00885E85">
        <w:rPr>
          <w:sz w:val="24"/>
        </w:rPr>
        <w:t>marchés subséquents</w:t>
      </w:r>
      <w:r w:rsidRPr="00AD7976">
        <w:rPr>
          <w:sz w:val="24"/>
        </w:rPr>
        <w:t xml:space="preserve">.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4DAAC45A" w14:textId="77777777" w:rsidR="00393A80" w:rsidRPr="00E90314" w:rsidRDefault="00393A80" w:rsidP="00393A80">
      <w:pPr>
        <w:jc w:val="both"/>
        <w:rPr>
          <w:sz w:val="24"/>
        </w:rPr>
      </w:pPr>
      <w:r w:rsidRPr="00E90314">
        <w:rPr>
          <w:sz w:val="24"/>
        </w:rPr>
        <w:t xml:space="preserve">Le paiement du prix indiqué dans les bons de commande ou les </w:t>
      </w:r>
      <w:r w:rsidR="00885E85">
        <w:rPr>
          <w:sz w:val="24"/>
        </w:rPr>
        <w:t>marchés subséquents</w:t>
      </w:r>
      <w:r w:rsidRPr="00E90314">
        <w:rPr>
          <w:sz w:val="24"/>
        </w:rPr>
        <w:t xml:space="preserve">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2B3B7DA6" w14:textId="77777777"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245011B0" w14:textId="77777777"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w:t>
      </w:r>
      <w:r w:rsidR="00885E85">
        <w:rPr>
          <w:sz w:val="24"/>
        </w:rPr>
        <w:t>marché subséquent</w:t>
      </w:r>
      <w:r w:rsidR="00393A80" w:rsidRPr="00442D03">
        <w:rPr>
          <w:sz w:val="24"/>
        </w:rPr>
        <w:t xml:space="preserve"> prévoit explicitement que ces éléments sont assimilés à un résultat autonome.</w:t>
      </w:r>
    </w:p>
    <w:p w14:paraId="2EC3523F" w14:textId="77777777"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16371567" w14:textId="77777777"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5A3CD414" w14:textId="77777777"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w:t>
      </w:r>
      <w:r w:rsidR="00885E85">
        <w:rPr>
          <w:sz w:val="24"/>
        </w:rPr>
        <w:t>marchés subséquents</w:t>
      </w:r>
      <w:r w:rsidRPr="00740822">
        <w:rPr>
          <w:sz w:val="24"/>
        </w:rPr>
        <w:t xml:space="preserve">.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AA0DDED" w14:textId="77777777"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386EC50F" w14:textId="77777777"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0C8AA2E0" w14:textId="77777777"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3D97175C" w14:textId="77777777" w:rsidR="00393A80" w:rsidRPr="00442D03" w:rsidRDefault="00393A80" w:rsidP="000B12BC">
      <w:pPr>
        <w:pStyle w:val="Heading3contract"/>
      </w:pPr>
      <w:r w:rsidRPr="00442D03">
        <w:t>II.</w:t>
      </w:r>
      <w:r w:rsidR="007F6B8D">
        <w:t>10</w:t>
      </w:r>
      <w:r w:rsidRPr="00442D03">
        <w:t>.4</w:t>
      </w:r>
      <w:r w:rsidRPr="00442D03">
        <w:tab/>
        <w:t>Modes d'exploitation</w:t>
      </w:r>
    </w:p>
    <w:p w14:paraId="6867EFCC" w14:textId="77777777"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76675AF8" w14:textId="77777777" w:rsidR="00583DE2" w:rsidRPr="00DC221F" w:rsidRDefault="00583DE2" w:rsidP="00583DE2">
      <w:pPr>
        <w:jc w:val="both"/>
        <w:rPr>
          <w:sz w:val="24"/>
        </w:rPr>
      </w:pPr>
      <w:r w:rsidRPr="00DC221F">
        <w:rPr>
          <w:noProof/>
          <w:sz w:val="24"/>
        </w:rPr>
        <w:t>a)</w:t>
      </w:r>
      <w:r w:rsidRPr="00DC221F">
        <w:rPr>
          <w:sz w:val="24"/>
        </w:rPr>
        <w:tab/>
        <w:t>exploitation à des fins internes:</w:t>
      </w:r>
    </w:p>
    <w:p w14:paraId="7619D194" w14:textId="77777777" w:rsidR="00583DE2" w:rsidRPr="00DC221F" w:rsidRDefault="00583DE2" w:rsidP="00B900C6">
      <w:pPr>
        <w:numPr>
          <w:ilvl w:val="3"/>
          <w:numId w:val="2"/>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578A13C6" w14:textId="77777777" w:rsidR="00583DE2" w:rsidRPr="00DC221F" w:rsidRDefault="00583DE2" w:rsidP="00B900C6">
      <w:pPr>
        <w:numPr>
          <w:ilvl w:val="3"/>
          <w:numId w:val="2"/>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67257A41" w14:textId="77777777" w:rsidR="00583DE2" w:rsidRPr="00DC221F" w:rsidRDefault="00583DE2" w:rsidP="00B900C6">
      <w:pPr>
        <w:numPr>
          <w:ilvl w:val="3"/>
          <w:numId w:val="2"/>
        </w:numPr>
        <w:tabs>
          <w:tab w:val="clear" w:pos="1440"/>
          <w:tab w:val="num" w:pos="1134"/>
        </w:tabs>
        <w:spacing w:before="0" w:beforeAutospacing="0"/>
        <w:ind w:left="1134" w:hanging="708"/>
        <w:jc w:val="both"/>
        <w:rPr>
          <w:sz w:val="24"/>
        </w:rPr>
      </w:pPr>
      <w:r w:rsidRPr="00DC221F">
        <w:rPr>
          <w:sz w:val="24"/>
        </w:rPr>
        <w:t>installation, chargement, traitement</w:t>
      </w:r>
    </w:p>
    <w:p w14:paraId="23CFFBF6" w14:textId="77777777" w:rsidR="00583DE2" w:rsidRPr="00DC221F" w:rsidRDefault="00583DE2" w:rsidP="00B900C6">
      <w:pPr>
        <w:numPr>
          <w:ilvl w:val="3"/>
          <w:numId w:val="2"/>
        </w:numPr>
        <w:tabs>
          <w:tab w:val="clear" w:pos="1440"/>
          <w:tab w:val="num" w:pos="1134"/>
        </w:tabs>
        <w:spacing w:before="0" w:beforeAutospacing="0"/>
        <w:ind w:left="1134" w:hanging="708"/>
        <w:jc w:val="both"/>
        <w:rPr>
          <w:sz w:val="24"/>
        </w:rPr>
      </w:pPr>
      <w:r w:rsidRPr="00DC221F">
        <w:rPr>
          <w:sz w:val="24"/>
        </w:rPr>
        <w:t>arrangement, compilation, assemblage, extraction</w:t>
      </w:r>
    </w:p>
    <w:p w14:paraId="7D01D8DE" w14:textId="77777777" w:rsidR="00583DE2" w:rsidRPr="00DC221F" w:rsidRDefault="00583DE2" w:rsidP="00B900C6">
      <w:pPr>
        <w:numPr>
          <w:ilvl w:val="3"/>
          <w:numId w:val="2"/>
        </w:numPr>
        <w:tabs>
          <w:tab w:val="clear" w:pos="1440"/>
          <w:tab w:val="num" w:pos="1134"/>
        </w:tabs>
        <w:spacing w:before="0" w:beforeAutospacing="0"/>
        <w:ind w:left="1134" w:hanging="708"/>
        <w:jc w:val="both"/>
        <w:rPr>
          <w:sz w:val="24"/>
        </w:rPr>
      </w:pPr>
      <w:r w:rsidRPr="00DC221F">
        <w:rPr>
          <w:sz w:val="24"/>
        </w:rPr>
        <w:t>copie, reproduction en tout ou en partie et en un nombre illimité d'exemplaires</w:t>
      </w:r>
    </w:p>
    <w:p w14:paraId="4AE9A7F2" w14:textId="77777777" w:rsidR="00583DE2" w:rsidRPr="00DC221F" w:rsidRDefault="00583DE2" w:rsidP="00583DE2">
      <w:pPr>
        <w:jc w:val="both"/>
        <w:rPr>
          <w:sz w:val="24"/>
        </w:rPr>
      </w:pPr>
      <w:r w:rsidRPr="00DC221F">
        <w:rPr>
          <w:sz w:val="24"/>
        </w:rPr>
        <w:t>b)</w:t>
      </w:r>
      <w:r w:rsidRPr="00DC221F">
        <w:rPr>
          <w:sz w:val="24"/>
        </w:rPr>
        <w:tab/>
        <w:t>diffusion publique:</w:t>
      </w:r>
    </w:p>
    <w:p w14:paraId="00DCCCF4" w14:textId="77777777" w:rsidR="00583DE2" w:rsidRPr="00DC221F" w:rsidRDefault="00583DE2" w:rsidP="00B900C6">
      <w:pPr>
        <w:numPr>
          <w:ilvl w:val="3"/>
          <w:numId w:val="3"/>
        </w:numPr>
        <w:tabs>
          <w:tab w:val="clear" w:pos="1440"/>
          <w:tab w:val="num" w:pos="1134"/>
        </w:tabs>
        <w:spacing w:before="0" w:beforeAutospacing="0"/>
        <w:ind w:left="1134" w:hanging="708"/>
        <w:jc w:val="both"/>
        <w:rPr>
          <w:sz w:val="24"/>
        </w:rPr>
      </w:pPr>
      <w:r w:rsidRPr="00DC221F">
        <w:rPr>
          <w:sz w:val="24"/>
        </w:rPr>
        <w:t>publication sous la forme d’exemplaires papier</w:t>
      </w:r>
    </w:p>
    <w:p w14:paraId="31AF5E8B" w14:textId="77777777" w:rsidR="00583DE2" w:rsidRPr="00DC221F" w:rsidRDefault="00583DE2" w:rsidP="00B900C6">
      <w:pPr>
        <w:numPr>
          <w:ilvl w:val="3"/>
          <w:numId w:val="3"/>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2FCAD34A" w14:textId="77777777" w:rsidR="00583DE2" w:rsidRPr="00DC221F" w:rsidRDefault="00583DE2" w:rsidP="00B900C6">
      <w:pPr>
        <w:numPr>
          <w:ilvl w:val="3"/>
          <w:numId w:val="3"/>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318863B" w14:textId="77777777" w:rsidR="00583DE2" w:rsidRPr="00DC221F" w:rsidRDefault="00583DE2" w:rsidP="00B900C6">
      <w:pPr>
        <w:numPr>
          <w:ilvl w:val="3"/>
          <w:numId w:val="3"/>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2EE23414" w14:textId="77777777" w:rsidR="00583DE2" w:rsidRPr="00DC221F" w:rsidRDefault="00583DE2" w:rsidP="00B900C6">
      <w:pPr>
        <w:numPr>
          <w:ilvl w:val="3"/>
          <w:numId w:val="3"/>
        </w:numPr>
        <w:tabs>
          <w:tab w:val="clear" w:pos="1440"/>
          <w:tab w:val="num" w:pos="1134"/>
        </w:tabs>
        <w:spacing w:before="0" w:beforeAutospacing="0"/>
        <w:ind w:left="1134" w:hanging="708"/>
        <w:jc w:val="both"/>
        <w:rPr>
          <w:sz w:val="24"/>
        </w:rPr>
      </w:pPr>
      <w:r w:rsidRPr="00DC221F">
        <w:rPr>
          <w:sz w:val="24"/>
        </w:rPr>
        <w:t>présentation ou affichage public</w:t>
      </w:r>
    </w:p>
    <w:p w14:paraId="36F4ACA9" w14:textId="77777777" w:rsidR="00583DE2" w:rsidRPr="00DC221F" w:rsidRDefault="00583DE2" w:rsidP="00B900C6">
      <w:pPr>
        <w:numPr>
          <w:ilvl w:val="3"/>
          <w:numId w:val="3"/>
        </w:numPr>
        <w:tabs>
          <w:tab w:val="clear" w:pos="1440"/>
          <w:tab w:val="num" w:pos="1134"/>
        </w:tabs>
        <w:spacing w:before="0" w:beforeAutospacing="0"/>
        <w:ind w:left="1134" w:hanging="708"/>
        <w:jc w:val="both"/>
        <w:rPr>
          <w:sz w:val="24"/>
        </w:rPr>
      </w:pPr>
      <w:r w:rsidRPr="00DC221F">
        <w:rPr>
          <w:sz w:val="24"/>
        </w:rPr>
        <w:lastRenderedPageBreak/>
        <w:t>communication par l'intermédiaire d'un service de presse</w:t>
      </w:r>
    </w:p>
    <w:p w14:paraId="639092DE" w14:textId="77777777" w:rsidR="00583DE2" w:rsidRPr="00DC221F" w:rsidRDefault="00583DE2" w:rsidP="00B900C6">
      <w:pPr>
        <w:numPr>
          <w:ilvl w:val="3"/>
          <w:numId w:val="3"/>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3C5F2B1C" w14:textId="77777777" w:rsidR="00583DE2" w:rsidRPr="00DC221F" w:rsidRDefault="00583DE2" w:rsidP="00B900C6">
      <w:pPr>
        <w:numPr>
          <w:ilvl w:val="3"/>
          <w:numId w:val="3"/>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2A05B08F" w14:textId="77777777"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37531A31"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0A20A524"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résumé</w:t>
      </w:r>
    </w:p>
    <w:p w14:paraId="216C19AA"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 xml:space="preserve">modification du contenu </w:t>
      </w:r>
    </w:p>
    <w:p w14:paraId="4B216274"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modification technique du contenu:</w:t>
      </w:r>
    </w:p>
    <w:p w14:paraId="5ACAD1DB" w14:textId="77777777" w:rsidR="00583DE2" w:rsidRPr="00DC221F" w:rsidRDefault="00583DE2" w:rsidP="00B900C6">
      <w:pPr>
        <w:numPr>
          <w:ilvl w:val="4"/>
          <w:numId w:val="5"/>
        </w:numPr>
        <w:tabs>
          <w:tab w:val="clear" w:pos="1800"/>
          <w:tab w:val="num" w:pos="1418"/>
        </w:tabs>
        <w:ind w:left="1418" w:hanging="284"/>
        <w:jc w:val="both"/>
        <w:rPr>
          <w:sz w:val="24"/>
        </w:rPr>
      </w:pPr>
      <w:r w:rsidRPr="00DC221F">
        <w:rPr>
          <w:sz w:val="24"/>
        </w:rPr>
        <w:t>correction nécessaire d'erreurs techniques</w:t>
      </w:r>
    </w:p>
    <w:p w14:paraId="31E1B6F8" w14:textId="77777777" w:rsidR="00583DE2" w:rsidRPr="00DC221F" w:rsidRDefault="00583DE2" w:rsidP="00B900C6">
      <w:pPr>
        <w:numPr>
          <w:ilvl w:val="4"/>
          <w:numId w:val="5"/>
        </w:numPr>
        <w:tabs>
          <w:tab w:val="clear" w:pos="1800"/>
          <w:tab w:val="num" w:pos="1418"/>
        </w:tabs>
        <w:ind w:left="1418" w:hanging="284"/>
        <w:jc w:val="both"/>
        <w:rPr>
          <w:sz w:val="24"/>
        </w:rPr>
      </w:pPr>
      <w:r w:rsidRPr="00DC221F">
        <w:rPr>
          <w:sz w:val="24"/>
        </w:rPr>
        <w:t xml:space="preserve">ajout de nouvelles parties ou fonctionnalités </w:t>
      </w:r>
    </w:p>
    <w:p w14:paraId="3B351DF6" w14:textId="77777777" w:rsidR="00583DE2" w:rsidRPr="00DC221F" w:rsidRDefault="00583DE2" w:rsidP="00B900C6">
      <w:pPr>
        <w:numPr>
          <w:ilvl w:val="4"/>
          <w:numId w:val="5"/>
        </w:numPr>
        <w:tabs>
          <w:tab w:val="clear" w:pos="1800"/>
          <w:tab w:val="num" w:pos="1418"/>
        </w:tabs>
        <w:ind w:left="1418" w:hanging="284"/>
        <w:jc w:val="both"/>
        <w:rPr>
          <w:sz w:val="24"/>
        </w:rPr>
      </w:pPr>
      <w:r w:rsidRPr="00DC221F">
        <w:rPr>
          <w:sz w:val="24"/>
        </w:rPr>
        <w:t>modification des fonctionnalités</w:t>
      </w:r>
    </w:p>
    <w:p w14:paraId="7FCB4659" w14:textId="77777777" w:rsidR="00583DE2" w:rsidRPr="00DC221F" w:rsidRDefault="00583DE2" w:rsidP="00B900C6">
      <w:pPr>
        <w:numPr>
          <w:ilvl w:val="4"/>
          <w:numId w:val="5"/>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3456B852"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7DEA0285"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156F9544"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sélection d'extraits ou division en parties</w:t>
      </w:r>
    </w:p>
    <w:p w14:paraId="74BE095F"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397A8024"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2B92BE05"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modification des dimensions</w:t>
      </w:r>
    </w:p>
    <w:p w14:paraId="37909098" w14:textId="77777777" w:rsidR="00583DE2" w:rsidRPr="00DC221F" w:rsidRDefault="00583DE2" w:rsidP="00B900C6">
      <w:pPr>
        <w:numPr>
          <w:ilvl w:val="3"/>
          <w:numId w:val="4"/>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4007FBB3" w14:textId="77777777" w:rsidR="00583DE2" w:rsidRPr="00DC221F" w:rsidRDefault="00583DE2" w:rsidP="00B900C6">
      <w:pPr>
        <w:numPr>
          <w:ilvl w:val="4"/>
          <w:numId w:val="5"/>
        </w:numPr>
        <w:tabs>
          <w:tab w:val="clear" w:pos="1800"/>
          <w:tab w:val="num" w:pos="1418"/>
        </w:tabs>
        <w:ind w:left="1418" w:hanging="284"/>
        <w:jc w:val="both"/>
        <w:rPr>
          <w:sz w:val="24"/>
        </w:rPr>
      </w:pPr>
      <w:r w:rsidRPr="00DC221F">
        <w:rPr>
          <w:sz w:val="24"/>
        </w:rPr>
        <w:t>anglais, français, allemand</w:t>
      </w:r>
    </w:p>
    <w:p w14:paraId="0D4FCBC3" w14:textId="77777777" w:rsidR="00583DE2" w:rsidRPr="00DC221F" w:rsidRDefault="00583DE2" w:rsidP="00B900C6">
      <w:pPr>
        <w:numPr>
          <w:ilvl w:val="4"/>
          <w:numId w:val="5"/>
        </w:numPr>
        <w:tabs>
          <w:tab w:val="clear" w:pos="1800"/>
          <w:tab w:val="num" w:pos="1418"/>
        </w:tabs>
        <w:ind w:left="1418" w:hanging="284"/>
        <w:jc w:val="both"/>
        <w:rPr>
          <w:sz w:val="24"/>
        </w:rPr>
      </w:pPr>
      <w:r w:rsidRPr="00DC221F">
        <w:rPr>
          <w:sz w:val="24"/>
        </w:rPr>
        <w:t>toutes les langues officielles de l'Union européenne</w:t>
      </w:r>
    </w:p>
    <w:p w14:paraId="4948A120" w14:textId="77777777" w:rsidR="00583DE2" w:rsidRPr="00DC221F" w:rsidRDefault="004071B2" w:rsidP="00B900C6">
      <w:pPr>
        <w:numPr>
          <w:ilvl w:val="4"/>
          <w:numId w:val="5"/>
        </w:numPr>
        <w:tabs>
          <w:tab w:val="clear" w:pos="1800"/>
          <w:tab w:val="num" w:pos="1418"/>
        </w:tabs>
        <w:ind w:left="1418" w:hanging="284"/>
        <w:jc w:val="both"/>
        <w:rPr>
          <w:sz w:val="24"/>
        </w:rPr>
      </w:pPr>
      <w:r>
        <w:rPr>
          <w:sz w:val="24"/>
        </w:rPr>
        <w:t xml:space="preserve">langues officielles </w:t>
      </w:r>
      <w:r w:rsidR="00363125">
        <w:rPr>
          <w:sz w:val="24"/>
        </w:rPr>
        <w:t>du pays d’exécution du contrat</w:t>
      </w:r>
    </w:p>
    <w:p w14:paraId="025A25B1" w14:textId="77777777"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57649B57" w14:textId="77777777" w:rsidR="005F7EA2" w:rsidRPr="00DC221F" w:rsidRDefault="005F7EA2" w:rsidP="00B900C6">
      <w:pPr>
        <w:numPr>
          <w:ilvl w:val="3"/>
          <w:numId w:val="11"/>
        </w:numPr>
        <w:tabs>
          <w:tab w:val="clear" w:pos="1440"/>
          <w:tab w:val="num" w:pos="1134"/>
        </w:tabs>
        <w:spacing w:before="0" w:beforeAutospacing="0"/>
        <w:ind w:left="1134"/>
        <w:jc w:val="both"/>
        <w:rPr>
          <w:sz w:val="24"/>
        </w:rPr>
      </w:pPr>
      <w:r w:rsidRPr="00DC221F">
        <w:rPr>
          <w:sz w:val="24"/>
        </w:rPr>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49A8409C" w14:textId="77777777" w:rsidR="005F7EA2" w:rsidRPr="00860F96" w:rsidRDefault="005F7EA2" w:rsidP="00B900C6">
      <w:pPr>
        <w:numPr>
          <w:ilvl w:val="3"/>
          <w:numId w:val="11"/>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w:t>
      </w:r>
      <w:r w:rsidR="00885E85">
        <w:rPr>
          <w:sz w:val="24"/>
        </w:rPr>
        <w:t>marché subséquent</w:t>
      </w:r>
      <w:r w:rsidRPr="00DC221F">
        <w:rPr>
          <w:sz w:val="24"/>
        </w:rPr>
        <w:t xml:space="preserve">; </w:t>
      </w:r>
    </w:p>
    <w:p w14:paraId="56C36FA5" w14:textId="77777777" w:rsidR="005F7EA2" w:rsidRPr="00DC221F" w:rsidRDefault="005F7EA2" w:rsidP="00B900C6">
      <w:pPr>
        <w:numPr>
          <w:ilvl w:val="3"/>
          <w:numId w:val="11"/>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9EF804" w14:textId="77777777"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79D7A95" w14:textId="77777777" w:rsidR="00583DE2" w:rsidRPr="00DC221F" w:rsidRDefault="00583DE2" w:rsidP="00583DE2">
      <w:pPr>
        <w:jc w:val="both"/>
      </w:pPr>
      <w:r w:rsidRPr="00DC221F">
        <w:rPr>
          <w:sz w:val="24"/>
        </w:rPr>
        <w:t xml:space="preserve">S'il constate que l'ampleur des modifications dépasse celle prévue dans le CC, le </w:t>
      </w:r>
      <w:r w:rsidR="00885E85">
        <w:rPr>
          <w:sz w:val="24"/>
        </w:rPr>
        <w:t>marché subséquent</w:t>
      </w:r>
      <w:r w:rsidRPr="00DC221F">
        <w:rPr>
          <w:sz w:val="24"/>
        </w:rPr>
        <w:t xml:space="preserv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7F748AC1" w14:textId="77777777"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34FC0C25" w14:textId="77777777"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446AAEFF"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4BC8586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5FF38915" w14:textId="77777777"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1CDED089"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2AF2CC72" w14:textId="77777777" w:rsidR="00393A80" w:rsidRPr="00E90314" w:rsidRDefault="00393A80" w:rsidP="00393A80">
      <w:pPr>
        <w:jc w:val="both"/>
        <w:rPr>
          <w:sz w:val="24"/>
        </w:rPr>
      </w:pPr>
      <w:r w:rsidRPr="00E90314">
        <w:rPr>
          <w:sz w:val="24"/>
        </w:rPr>
        <w:t xml:space="preserve">Les preuves comportent, le cas échéant: </w:t>
      </w:r>
    </w:p>
    <w:p w14:paraId="3F99FF7D" w14:textId="77777777" w:rsidR="00393A80" w:rsidRPr="00E90314" w:rsidRDefault="00393A80" w:rsidP="00B900C6">
      <w:pPr>
        <w:numPr>
          <w:ilvl w:val="0"/>
          <w:numId w:val="8"/>
        </w:numPr>
        <w:spacing w:before="0" w:beforeAutospacing="0"/>
        <w:ind w:left="425" w:hanging="425"/>
        <w:jc w:val="both"/>
        <w:rPr>
          <w:sz w:val="24"/>
        </w:rPr>
      </w:pPr>
      <w:r w:rsidRPr="00E90314">
        <w:rPr>
          <w:sz w:val="24"/>
        </w:rPr>
        <w:t xml:space="preserve">les nom et numéro de version du logiciel; </w:t>
      </w:r>
    </w:p>
    <w:p w14:paraId="11EB4298" w14:textId="77777777" w:rsidR="00393A80" w:rsidRPr="00760DF8" w:rsidRDefault="00393A80" w:rsidP="00B900C6">
      <w:pPr>
        <w:numPr>
          <w:ilvl w:val="0"/>
          <w:numId w:val="8"/>
        </w:numPr>
        <w:spacing w:before="0" w:beforeAutospacing="0"/>
        <w:ind w:left="425" w:hanging="425"/>
        <w:jc w:val="both"/>
        <w:rPr>
          <w:sz w:val="24"/>
        </w:rPr>
      </w:pPr>
      <w:r w:rsidRPr="00267EC1">
        <w:rPr>
          <w:sz w:val="24"/>
        </w:rPr>
        <w:lastRenderedPageBreak/>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9666F14" w14:textId="77777777" w:rsidR="00393A80" w:rsidRPr="00AF57F8" w:rsidRDefault="00393A80" w:rsidP="00B900C6">
      <w:pPr>
        <w:numPr>
          <w:ilvl w:val="0"/>
          <w:numId w:val="8"/>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39C00C09" w14:textId="77777777" w:rsidR="00393A80" w:rsidRPr="00AF57F8" w:rsidRDefault="00393A80" w:rsidP="00B900C6">
      <w:pPr>
        <w:numPr>
          <w:ilvl w:val="0"/>
          <w:numId w:val="8"/>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179A90D6" w14:textId="77777777" w:rsidR="00393A80" w:rsidRPr="00AF57F8" w:rsidRDefault="00393A80" w:rsidP="00B900C6">
      <w:pPr>
        <w:numPr>
          <w:ilvl w:val="0"/>
          <w:numId w:val="8"/>
        </w:numPr>
        <w:spacing w:before="0" w:beforeAutospacing="0"/>
        <w:ind w:left="425" w:hanging="425"/>
        <w:jc w:val="both"/>
        <w:rPr>
          <w:sz w:val="24"/>
        </w:rPr>
      </w:pPr>
      <w:r w:rsidRPr="00AF57F8">
        <w:rPr>
          <w:sz w:val="24"/>
        </w:rPr>
        <w:t>le texte de l'avis d'exclusion de responsabilité, le cas échéant.</w:t>
      </w:r>
    </w:p>
    <w:p w14:paraId="1FB313DF"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340E1958"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1BEF1BD0" w14:textId="77777777" w:rsidR="00393A80" w:rsidRPr="00AF57F8" w:rsidRDefault="00393A80" w:rsidP="000B12BC">
      <w:pPr>
        <w:pStyle w:val="Heading3contract"/>
      </w:pPr>
      <w:r w:rsidRPr="00AF57F8">
        <w:t>II.</w:t>
      </w:r>
      <w:r w:rsidR="007F6B8D">
        <w:t>10</w:t>
      </w:r>
      <w:r w:rsidRPr="00AF57F8">
        <w:t>.6</w:t>
      </w:r>
      <w:r w:rsidRPr="00AF57F8">
        <w:tab/>
        <w:t>Auteurs</w:t>
      </w:r>
    </w:p>
    <w:p w14:paraId="3F0AC20B" w14:textId="7777777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1AC304C7"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469B0588" w14:textId="77777777"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443017EF" w14:textId="77777777"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04130A63" w14:textId="77777777"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69823448" w14:textId="77777777" w:rsidR="00393A80" w:rsidRPr="00896426" w:rsidRDefault="00393A80" w:rsidP="00896426">
      <w:pPr>
        <w:jc w:val="both"/>
        <w:rPr>
          <w:sz w:val="24"/>
        </w:rPr>
      </w:pPr>
      <w:bookmarkStart w:id="97" w:name="_Toc201229488"/>
      <w:r w:rsidRPr="00896426">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sidRPr="00896426">
        <w:rPr>
          <w:sz w:val="24"/>
        </w:rPr>
        <w:t>Expertise France</w:t>
      </w:r>
      <w:r w:rsidRPr="00896426">
        <w:rPr>
          <w:sz w:val="24"/>
        </w:rPr>
        <w:t xml:space="preserve">. Tous droits réservés. Certaines parties font l'objet d'une licence sous conditions à </w:t>
      </w:r>
      <w:r w:rsidR="00AA25F0" w:rsidRPr="00896426">
        <w:rPr>
          <w:sz w:val="24"/>
        </w:rPr>
        <w:t>Expertise France</w:t>
      </w:r>
      <w:r w:rsidRPr="00896426">
        <w:rPr>
          <w:sz w:val="24"/>
        </w:rPr>
        <w:t>.</w:t>
      </w:r>
      <w:bookmarkEnd w:id="97"/>
      <w:r w:rsidRPr="00896426">
        <w:rPr>
          <w:sz w:val="24"/>
        </w:rPr>
        <w:t xml:space="preserve"> </w:t>
      </w:r>
    </w:p>
    <w:p w14:paraId="431C9076" w14:textId="77777777"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39DEE4B2" w14:textId="77777777"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6F854BC" w14:textId="77777777" w:rsidR="00393A80" w:rsidRPr="007F2769" w:rsidRDefault="00393A80" w:rsidP="00393A80">
      <w:pPr>
        <w:pStyle w:val="Titre2"/>
      </w:pPr>
      <w:bookmarkStart w:id="98" w:name="_Toc201229489"/>
      <w:bookmarkStart w:id="99" w:name="_Toc201856552"/>
      <w:r w:rsidRPr="007F2769">
        <w:t>Article II.</w:t>
      </w:r>
      <w:r w:rsidR="007F6B8D">
        <w:t>11</w:t>
      </w:r>
      <w:r w:rsidRPr="007F2769">
        <w:t>– Force majeure</w:t>
      </w:r>
      <w:bookmarkEnd w:id="98"/>
      <w:bookmarkEnd w:id="99"/>
    </w:p>
    <w:p w14:paraId="6FD7827E" w14:textId="77777777"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39B5FF94" w14:textId="77777777"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161AA882" w14:textId="77777777"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17BF519B" w14:textId="77777777"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21AA5AA3" w14:textId="77777777" w:rsidR="00393A80" w:rsidRPr="00860F96" w:rsidRDefault="00393A80" w:rsidP="00393A80">
      <w:pPr>
        <w:pStyle w:val="Titre2"/>
      </w:pPr>
      <w:bookmarkStart w:id="100" w:name="_Toc201229490"/>
      <w:bookmarkStart w:id="101" w:name="_Toc201856553"/>
      <w:r w:rsidRPr="00050C4C">
        <w:t>Article II.</w:t>
      </w:r>
      <w:r w:rsidR="007F6B8D">
        <w:t>12</w:t>
      </w:r>
      <w:r w:rsidRPr="00050C4C">
        <w:t xml:space="preserve">– </w:t>
      </w:r>
      <w:r w:rsidR="00CF24E7" w:rsidRPr="00050C4C">
        <w:t>Pénalités</w:t>
      </w:r>
      <w:bookmarkEnd w:id="100"/>
      <w:bookmarkEnd w:id="101"/>
    </w:p>
    <w:p w14:paraId="1F63E2F4" w14:textId="77777777"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560665E8" w14:textId="77777777"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w:t>
      </w:r>
      <w:r w:rsidR="00885E85">
        <w:rPr>
          <w:sz w:val="24"/>
        </w:rPr>
        <w:t>marché subséquent</w:t>
      </w:r>
      <w:r w:rsidRPr="00E90314">
        <w:rPr>
          <w:sz w:val="24"/>
        </w:rPr>
        <w:t xml:space="preserv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w:t>
      </w:r>
      <w:r w:rsidR="00885E85">
        <w:rPr>
          <w:sz w:val="24"/>
        </w:rPr>
        <w:t>marché subséquent</w:t>
      </w:r>
      <w:r w:rsidRPr="00E90314">
        <w:rPr>
          <w:sz w:val="24"/>
        </w:rPr>
        <w:t xml:space="preserv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w:t>
      </w:r>
      <w:r w:rsidR="00F6646D">
        <w:rPr>
          <w:sz w:val="24"/>
        </w:rPr>
        <w:t>lés selon la formule suivante:</w:t>
      </w:r>
    </w:p>
    <w:p w14:paraId="4E80691F" w14:textId="77777777"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2F4D9D0F"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4F8F1746" w14:textId="77777777" w:rsidR="00E172E1" w:rsidRPr="00050C4C" w:rsidRDefault="00E172E1" w:rsidP="00E172E1">
      <w:pPr>
        <w:ind w:left="284"/>
        <w:jc w:val="both"/>
        <w:rPr>
          <w:sz w:val="24"/>
        </w:rPr>
      </w:pPr>
      <w:r w:rsidRPr="00DF1C56">
        <w:rPr>
          <w:i/>
          <w:sz w:val="24"/>
        </w:rPr>
        <w:t>d</w:t>
      </w:r>
      <w:r w:rsidRPr="00050C4C">
        <w:rPr>
          <w:sz w:val="24"/>
        </w:rPr>
        <w:t xml:space="preserve"> est</w:t>
      </w:r>
      <w:r>
        <w:rPr>
          <w:sz w:val="24"/>
        </w:rPr>
        <w:t xml:space="preserve"> le nombre de jours de retard, exprimés en jours ouvrés.</w:t>
      </w:r>
    </w:p>
    <w:p w14:paraId="3F7CB591" w14:textId="77777777"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E4E4D0D" w14:textId="77777777"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0CEEA93E" w14:textId="77777777" w:rsidR="00393A80" w:rsidRPr="00050C4C" w:rsidRDefault="00393A80" w:rsidP="00393A80">
      <w:pPr>
        <w:pStyle w:val="Titre2"/>
      </w:pPr>
      <w:bookmarkStart w:id="102" w:name="_Toc201229491"/>
      <w:bookmarkStart w:id="103" w:name="_Toc201856554"/>
      <w:r w:rsidRPr="00050C4C">
        <w:t>Article II.</w:t>
      </w:r>
      <w:r w:rsidR="007F6B8D">
        <w:t>13</w:t>
      </w:r>
      <w:r w:rsidR="00836A77" w:rsidRPr="00050C4C">
        <w:t xml:space="preserve"> </w:t>
      </w:r>
      <w:r w:rsidRPr="00050C4C">
        <w:t>– Suspension de l'exécution du CC</w:t>
      </w:r>
      <w:bookmarkEnd w:id="102"/>
      <w:bookmarkEnd w:id="103"/>
    </w:p>
    <w:p w14:paraId="3ADF67DF" w14:textId="77777777" w:rsidR="00393A80" w:rsidRPr="00E82F2E" w:rsidRDefault="00393A80" w:rsidP="000B12BC">
      <w:pPr>
        <w:pStyle w:val="Heading3contract"/>
      </w:pPr>
      <w:r w:rsidRPr="00E82F2E">
        <w:t>II.</w:t>
      </w:r>
      <w:r w:rsidR="007F6B8D">
        <w:t>13</w:t>
      </w:r>
      <w:r w:rsidRPr="00E82F2E">
        <w:t>.1 Suspension par le contractant</w:t>
      </w:r>
    </w:p>
    <w:p w14:paraId="27A0A044" w14:textId="77777777"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w:t>
      </w:r>
      <w:r w:rsidR="00885E85">
        <w:rPr>
          <w:sz w:val="24"/>
        </w:rPr>
        <w:t>marché subséquent</w:t>
      </w:r>
      <w:r w:rsidRPr="00740822">
        <w:rPr>
          <w:sz w:val="24"/>
        </w:rPr>
        <w:t xml:space="preserv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 xml:space="preserve">les justifications et précisions nécessaires, ainsi que la date envisagée de la reprise de l'exécution du CC, du bon de commande ou du </w:t>
      </w:r>
      <w:r w:rsidR="00885E85">
        <w:rPr>
          <w:sz w:val="24"/>
        </w:rPr>
        <w:t>marché subséquent</w:t>
      </w:r>
      <w:r w:rsidRPr="00A34B7F">
        <w:rPr>
          <w:sz w:val="24"/>
        </w:rPr>
        <w:t>.</w:t>
      </w:r>
    </w:p>
    <w:p w14:paraId="58312AC4" w14:textId="7777777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w:t>
      </w:r>
      <w:r w:rsidR="00885E85">
        <w:rPr>
          <w:sz w:val="24"/>
        </w:rPr>
        <w:t>marché subséquent</w:t>
      </w:r>
      <w:r w:rsidRPr="00AD7976">
        <w:rPr>
          <w:sz w:val="24"/>
        </w:rPr>
        <w:t xml:space="preserve">. </w:t>
      </w:r>
    </w:p>
    <w:p w14:paraId="714287C7" w14:textId="77777777"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205FD0AF" w14:textId="77777777"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w:t>
      </w:r>
      <w:r w:rsidR="00885E85">
        <w:rPr>
          <w:sz w:val="24"/>
        </w:rPr>
        <w:t>marché subséquent</w:t>
      </w:r>
      <w:r w:rsidR="00393A80" w:rsidRPr="00740822">
        <w:rPr>
          <w:sz w:val="24"/>
        </w:rPr>
        <w:t>:</w:t>
      </w:r>
    </w:p>
    <w:p w14:paraId="16D598ED"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w:t>
      </w:r>
      <w:r w:rsidR="00885E85">
        <w:rPr>
          <w:sz w:val="24"/>
        </w:rPr>
        <w:t>marché subséquent</w:t>
      </w:r>
      <w:r w:rsidRPr="00AD7976">
        <w:rPr>
          <w:sz w:val="24"/>
        </w:rPr>
        <w:t xml:space="preserve"> ou l'exécution du CC se révèle entachée d'erreurs substantielles</w:t>
      </w:r>
      <w:r w:rsidR="002A5613">
        <w:rPr>
          <w:sz w:val="24"/>
        </w:rPr>
        <w:t>, d'irrégularités ou de fraude;</w:t>
      </w:r>
    </w:p>
    <w:p w14:paraId="1B587D4A"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2CCB3469" w14:textId="77777777"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w:t>
      </w:r>
      <w:r w:rsidR="00885E85">
        <w:rPr>
          <w:sz w:val="24"/>
        </w:rPr>
        <w:t>marché subséquent</w:t>
      </w:r>
      <w:r w:rsidRPr="00267EC1">
        <w:rPr>
          <w:sz w:val="24"/>
        </w:rPr>
        <w:t>. Le contractant ne peut exiger d'indemnisation en cas de suspension de tout ou partie du CC, d</w:t>
      </w:r>
      <w:r w:rsidRPr="00760DF8">
        <w:rPr>
          <w:sz w:val="24"/>
        </w:rPr>
        <w:t xml:space="preserve">u bon de commande ou du </w:t>
      </w:r>
      <w:r w:rsidR="00885E85">
        <w:rPr>
          <w:sz w:val="24"/>
        </w:rPr>
        <w:t>marché subséquent</w:t>
      </w:r>
      <w:r w:rsidRPr="00760DF8">
        <w:rPr>
          <w:sz w:val="24"/>
        </w:rPr>
        <w:t>.</w:t>
      </w:r>
    </w:p>
    <w:p w14:paraId="0AA66049" w14:textId="77777777" w:rsidR="00393A80" w:rsidRPr="006F6F9F" w:rsidRDefault="00393A80" w:rsidP="00393A80">
      <w:pPr>
        <w:pStyle w:val="Titre2"/>
      </w:pPr>
      <w:bookmarkStart w:id="104" w:name="_Toc201229492"/>
      <w:bookmarkStart w:id="105" w:name="_Toc201856555"/>
      <w:r w:rsidRPr="006F6F9F">
        <w:t>Article II.</w:t>
      </w:r>
      <w:r w:rsidR="007F6B8D">
        <w:t>14</w:t>
      </w:r>
      <w:r w:rsidRPr="006F6F9F">
        <w:t>– Résiliation du CC</w:t>
      </w:r>
      <w:bookmarkEnd w:id="104"/>
      <w:bookmarkEnd w:id="105"/>
    </w:p>
    <w:p w14:paraId="2BC89694" w14:textId="77777777" w:rsidR="00393A80" w:rsidRPr="006F6F9F" w:rsidRDefault="00393A80" w:rsidP="000B12BC">
      <w:pPr>
        <w:pStyle w:val="Heading3contract"/>
      </w:pPr>
      <w:r w:rsidRPr="006F6F9F">
        <w:t>II.</w:t>
      </w:r>
      <w:r w:rsidR="007F6B8D">
        <w:t>14</w:t>
      </w:r>
      <w:r w:rsidRPr="006F6F9F">
        <w:t>.1</w:t>
      </w:r>
      <w:r w:rsidRPr="006F6F9F">
        <w:tab/>
        <w:t>Motifs de la résiliation</w:t>
      </w:r>
    </w:p>
    <w:p w14:paraId="49457F3C" w14:textId="77777777"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w:t>
      </w:r>
      <w:r w:rsidR="00885E85">
        <w:rPr>
          <w:sz w:val="24"/>
        </w:rPr>
        <w:t>marché subséquent</w:t>
      </w:r>
      <w:r w:rsidR="00393A80" w:rsidRPr="00860F96">
        <w:rPr>
          <w:sz w:val="24"/>
        </w:rPr>
        <w:t xml:space="preserve"> dans les cas suivants:</w:t>
      </w:r>
    </w:p>
    <w:p w14:paraId="0A2F07FA"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 xml:space="preserve">uridique, financier, technique, d'organisation ou de contrôle dans la situation du contractant est susceptible d'affecter l'exécution du CC, du bon de commande ou du </w:t>
      </w:r>
      <w:r w:rsidR="00885E85">
        <w:rPr>
          <w:sz w:val="24"/>
        </w:rPr>
        <w:t>marché subséquent</w:t>
      </w:r>
      <w:r w:rsidRPr="00740822">
        <w:rPr>
          <w:sz w:val="24"/>
        </w:rPr>
        <w:t xml:space="preserve"> de manière substantielle ou de remettre en cause la décision d'attribut</w:t>
      </w:r>
      <w:r w:rsidRPr="00A34B7F">
        <w:rPr>
          <w:sz w:val="24"/>
        </w:rPr>
        <w:t>ion du CC;</w:t>
      </w:r>
    </w:p>
    <w:p w14:paraId="4951B9DE" w14:textId="77777777"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w:t>
      </w:r>
      <w:r w:rsidR="00885E85">
        <w:rPr>
          <w:sz w:val="24"/>
        </w:rPr>
        <w:t>marché subséquent</w:t>
      </w:r>
      <w:r w:rsidRPr="00AD7976">
        <w:rPr>
          <w:sz w:val="24"/>
        </w:rPr>
        <w:t xml:space="preserv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5F544E64" w14:textId="77777777" w:rsidR="00393A80" w:rsidRPr="00267EC1" w:rsidRDefault="00393A80" w:rsidP="00393A80">
      <w:pPr>
        <w:autoSpaceDE w:val="0"/>
        <w:autoSpaceDN w:val="0"/>
        <w:adjustRightInd w:val="0"/>
        <w:ind w:left="851" w:hanging="851"/>
        <w:jc w:val="both"/>
      </w:pPr>
      <w:r w:rsidRPr="00E90314">
        <w:rPr>
          <w:sz w:val="24"/>
        </w:rPr>
        <w:t>c)</w:t>
      </w:r>
      <w:r w:rsidRPr="00E90314">
        <w:rPr>
          <w:sz w:val="24"/>
        </w:rPr>
        <w:tab/>
        <w:t xml:space="preserve">si le contractant n'exécute pas le CC, un bon de commande ou un </w:t>
      </w:r>
      <w:r w:rsidR="00885E85">
        <w:rPr>
          <w:sz w:val="24"/>
        </w:rPr>
        <w:t>marché subséquent</w:t>
      </w:r>
      <w:r w:rsidRPr="00E90314">
        <w:rPr>
          <w:sz w:val="24"/>
        </w:rPr>
        <w:t xml:space="preserv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w:t>
      </w:r>
      <w:r w:rsidR="00885E85">
        <w:rPr>
          <w:sz w:val="24"/>
        </w:rPr>
        <w:t>marchés subséquents</w:t>
      </w:r>
      <w:r w:rsidRPr="00E90314">
        <w:rPr>
          <w:sz w:val="24"/>
        </w:rPr>
        <w:t xml:space="preserve"> pour ce motif constitue un motif de résiliation du CC; </w:t>
      </w:r>
    </w:p>
    <w:p w14:paraId="40503CE0"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 xml:space="preserve">en cas de force majeure notifiée conformément à l'article II.11 ou en cas de suspension de l'exécution du CC, du bon de commande ou du </w:t>
      </w:r>
      <w:r w:rsidR="00885E85">
        <w:rPr>
          <w:sz w:val="24"/>
        </w:rPr>
        <w:t>marché subséquent</w:t>
      </w:r>
      <w:r w:rsidRPr="00760DF8">
        <w:rPr>
          <w:sz w:val="24"/>
        </w:rPr>
        <w:t xml:space="preserve"> par le contractant pour cause de force majeure, notifiée conformément à l'article II.13, si la reprise de l'exécution est impossible ou si un changement au CC, au bon de commande ou</w:t>
      </w:r>
      <w:r w:rsidRPr="006F6F9F">
        <w:rPr>
          <w:sz w:val="24"/>
        </w:rPr>
        <w:t xml:space="preserve"> au </w:t>
      </w:r>
      <w:r w:rsidR="00885E85">
        <w:rPr>
          <w:sz w:val="24"/>
        </w:rPr>
        <w:t>marché subséquent</w:t>
      </w:r>
      <w:r w:rsidRPr="006F6F9F">
        <w:rPr>
          <w:sz w:val="24"/>
        </w:rPr>
        <w:t xml:space="preserve"> est susceptible de remettre en cause la décision d'attribution du CC, du bon de commande ou du </w:t>
      </w:r>
      <w:r w:rsidR="00885E85">
        <w:rPr>
          <w:sz w:val="24"/>
        </w:rPr>
        <w:t>marché subséquent</w:t>
      </w:r>
      <w:r w:rsidRPr="006F6F9F">
        <w:rPr>
          <w:sz w:val="24"/>
        </w:rPr>
        <w:t xml:space="preserve"> ou de donner lieu à une inégalité de traitement entre soumissionnaires ou contractants; </w:t>
      </w:r>
    </w:p>
    <w:p w14:paraId="613C427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5FCE3740"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052A8DA9"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C894617" w14:textId="77777777"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4952B4F3" w14:textId="77777777"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04F4AAE5"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 xml:space="preserve">si le contractant ne peut, par sa propre faute, obtenir un permis ou une autorisation nécessaire à l'exécution du CC, du bon de commande ou du </w:t>
      </w:r>
      <w:r w:rsidR="00885E85">
        <w:rPr>
          <w:sz w:val="24"/>
        </w:rPr>
        <w:t>marché subséquent</w:t>
      </w:r>
      <w:r w:rsidRPr="00AD7976">
        <w:rPr>
          <w:sz w:val="24"/>
        </w:rPr>
        <w:t>;</w:t>
      </w:r>
    </w:p>
    <w:p w14:paraId="394CB3C9" w14:textId="77777777"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4E9A0062"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050D8BB1" w14:textId="77777777"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73B4C1D7" w14:textId="77777777" w:rsidR="00393A80" w:rsidRPr="00356599" w:rsidRDefault="00393A80" w:rsidP="000B12BC">
      <w:pPr>
        <w:pStyle w:val="Heading3contract"/>
      </w:pPr>
      <w:r w:rsidRPr="00356599">
        <w:t>II.</w:t>
      </w:r>
      <w:r w:rsidR="007F6B8D">
        <w:t>14</w:t>
      </w:r>
      <w:r w:rsidRPr="00356599">
        <w:t>.2</w:t>
      </w:r>
      <w:r w:rsidRPr="00356599">
        <w:tab/>
        <w:t>Procédure de résiliation</w:t>
      </w:r>
    </w:p>
    <w:p w14:paraId="787D4C50" w14:textId="77777777"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w:t>
      </w:r>
      <w:r w:rsidR="00885E85">
        <w:rPr>
          <w:sz w:val="24"/>
        </w:rPr>
        <w:t>marché subséquent</w:t>
      </w:r>
      <w:r w:rsidR="00393A80" w:rsidRPr="00A17B8E">
        <w:rPr>
          <w:sz w:val="24"/>
        </w:rPr>
        <w:t xml:space="preserv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79E598F6" w14:textId="77777777" w:rsidR="00393A80" w:rsidRPr="00A17B8E" w:rsidRDefault="00393A80" w:rsidP="00393A80">
      <w:pPr>
        <w:jc w:val="both"/>
      </w:pPr>
      <w:r w:rsidRPr="00A17B8E">
        <w:rPr>
          <w:sz w:val="24"/>
        </w:rPr>
        <w:lastRenderedPageBreak/>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w:t>
      </w:r>
      <w:r w:rsidR="00885E85">
        <w:rPr>
          <w:sz w:val="24"/>
        </w:rPr>
        <w:t>marché subséquent</w:t>
      </w:r>
      <w:r w:rsidRPr="00A17B8E">
        <w:rPr>
          <w:sz w:val="24"/>
        </w:rPr>
        <w:t>.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782A17F7" w14:textId="77777777" w:rsidR="00393A80" w:rsidRPr="009D71E4" w:rsidRDefault="00393A80" w:rsidP="000B12BC">
      <w:pPr>
        <w:pStyle w:val="Heading3contract"/>
      </w:pPr>
      <w:r w:rsidRPr="009D71E4">
        <w:t>II.</w:t>
      </w:r>
      <w:r w:rsidR="007F6B8D">
        <w:t>14</w:t>
      </w:r>
      <w:r w:rsidRPr="009D71E4">
        <w:t>.3</w:t>
      </w:r>
      <w:r w:rsidRPr="009D71E4">
        <w:tab/>
        <w:t>Effets de la résiliation</w:t>
      </w:r>
    </w:p>
    <w:p w14:paraId="01E64FA7" w14:textId="77777777"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 xml:space="preserve">à compter de la date de prise d'effet de la résiliation pour établir les documents requis par les conditions particulières, les bons de commande ou les </w:t>
      </w:r>
      <w:r w:rsidR="00885E85">
        <w:rPr>
          <w:sz w:val="24"/>
        </w:rPr>
        <w:t>marchés subséquents</w:t>
      </w:r>
      <w:r w:rsidRPr="00A17B8E">
        <w:rPr>
          <w:sz w:val="24"/>
        </w:rPr>
        <w:t xml:space="preserve">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7B8A62F3" w14:textId="77777777"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070307B5" w14:textId="77777777"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1A4B65E0" w14:textId="77777777" w:rsidR="00393A80" w:rsidRPr="00A17B8E" w:rsidRDefault="00393A80" w:rsidP="00393A80">
      <w:pPr>
        <w:pStyle w:val="Titre2"/>
      </w:pPr>
      <w:bookmarkStart w:id="106" w:name="_Toc201229493"/>
      <w:bookmarkStart w:id="107" w:name="_Toc201856556"/>
      <w:r w:rsidRPr="00A17B8E">
        <w:t>Article II.</w:t>
      </w:r>
      <w:r w:rsidR="007F6B8D">
        <w:t>15</w:t>
      </w:r>
      <w:r w:rsidRPr="00A17B8E">
        <w:t xml:space="preserve"> – Rapports et paiements</w:t>
      </w:r>
      <w:bookmarkEnd w:id="106"/>
      <w:bookmarkEnd w:id="107"/>
    </w:p>
    <w:p w14:paraId="599001EA" w14:textId="77777777" w:rsidR="00393A80" w:rsidRPr="009D71E4" w:rsidRDefault="00393A80" w:rsidP="000B12BC">
      <w:pPr>
        <w:pStyle w:val="Heading3contract"/>
      </w:pPr>
      <w:r w:rsidRPr="009D71E4">
        <w:t>II.</w:t>
      </w:r>
      <w:r w:rsidR="007F6B8D">
        <w:t>15</w:t>
      </w:r>
      <w:r w:rsidRPr="009D71E4">
        <w:t>.1</w:t>
      </w:r>
      <w:r w:rsidRPr="009D71E4">
        <w:tab/>
        <w:t>Date du paiement</w:t>
      </w:r>
    </w:p>
    <w:p w14:paraId="04A6490D" w14:textId="77777777"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7A4D1F6E" w14:textId="77777777" w:rsidR="00393A80" w:rsidRPr="00E82F2E" w:rsidRDefault="00393A80" w:rsidP="000B12BC">
      <w:pPr>
        <w:pStyle w:val="Heading3contract"/>
      </w:pPr>
      <w:r w:rsidRPr="00E82F2E">
        <w:t>II.</w:t>
      </w:r>
      <w:r w:rsidR="007F6B8D">
        <w:t>15</w:t>
      </w:r>
      <w:r w:rsidRPr="00E82F2E">
        <w:t>.2 Monnaie</w:t>
      </w:r>
    </w:p>
    <w:p w14:paraId="7BBBC980" w14:textId="77777777" w:rsidR="00393A80" w:rsidRPr="00C03999" w:rsidRDefault="00393A80" w:rsidP="00393A80">
      <w:pPr>
        <w:jc w:val="both"/>
        <w:rPr>
          <w:sz w:val="24"/>
        </w:rPr>
      </w:pPr>
      <w:r w:rsidRPr="00C03999">
        <w:rPr>
          <w:sz w:val="24"/>
        </w:rPr>
        <w:t xml:space="preserve">Le CC est libellé en euros. </w:t>
      </w:r>
    </w:p>
    <w:p w14:paraId="6E2E2E28" w14:textId="77777777" w:rsidR="00393A80" w:rsidRPr="00C03999" w:rsidRDefault="00393A80" w:rsidP="00393A80">
      <w:pPr>
        <w:jc w:val="both"/>
        <w:rPr>
          <w:sz w:val="24"/>
        </w:rPr>
      </w:pPr>
      <w:r w:rsidRPr="00C03999">
        <w:rPr>
          <w:sz w:val="24"/>
        </w:rPr>
        <w:t>Les paiements sont exécutés en euros.</w:t>
      </w:r>
    </w:p>
    <w:p w14:paraId="7CAD9BB4" w14:textId="77777777"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B3B4D3D" w14:textId="77777777"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1D0EF8F3" w14:textId="77777777" w:rsidR="00393A80" w:rsidRPr="00860F96" w:rsidRDefault="00393A80" w:rsidP="00393A80">
      <w:pPr>
        <w:jc w:val="both"/>
        <w:rPr>
          <w:sz w:val="24"/>
        </w:rPr>
      </w:pPr>
      <w:r w:rsidRPr="00860F96">
        <w:rPr>
          <w:sz w:val="24"/>
        </w:rPr>
        <w:t>Les frais de virement sont répartis comme suit:</w:t>
      </w:r>
    </w:p>
    <w:p w14:paraId="6271494F" w14:textId="77777777" w:rsidR="00393A80" w:rsidRPr="00AD7976" w:rsidRDefault="00393A80" w:rsidP="00B900C6">
      <w:pPr>
        <w:numPr>
          <w:ilvl w:val="0"/>
          <w:numId w:val="9"/>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F163D08" w14:textId="77777777" w:rsidR="00393A80" w:rsidRPr="00AD7976" w:rsidRDefault="00393A80" w:rsidP="00B900C6">
      <w:pPr>
        <w:numPr>
          <w:ilvl w:val="0"/>
          <w:numId w:val="9"/>
        </w:numPr>
        <w:spacing w:before="0" w:beforeAutospacing="0"/>
        <w:ind w:left="425" w:hanging="425"/>
        <w:jc w:val="both"/>
        <w:rPr>
          <w:sz w:val="24"/>
        </w:rPr>
      </w:pPr>
      <w:r w:rsidRPr="00AD7976">
        <w:rPr>
          <w:sz w:val="24"/>
        </w:rPr>
        <w:t>les frais de réception facturés par la banque du contractant sont à la charge de ce dernier;</w:t>
      </w:r>
    </w:p>
    <w:p w14:paraId="033033E0" w14:textId="77777777" w:rsidR="00393A80" w:rsidRPr="00E90314" w:rsidRDefault="00393A80" w:rsidP="00B900C6">
      <w:pPr>
        <w:numPr>
          <w:ilvl w:val="0"/>
          <w:numId w:val="9"/>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6B42D54A" w14:textId="77777777"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7DFD6B92" w14:textId="77777777"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7E14C256" w14:textId="77777777"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7D7058A5" w14:textId="77777777"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5A05B870"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28817C54" w14:textId="77777777"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0A8B5B9D" w14:textId="77777777"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1F465940" w14:textId="77777777"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 xml:space="preserve">Le montant de la garantie de bonne fin ne peut dépasser le montant total du bon de commande ou du </w:t>
      </w:r>
      <w:r w:rsidR="00885E85">
        <w:rPr>
          <w:sz w:val="24"/>
        </w:rPr>
        <w:t>marché subséquent</w:t>
      </w:r>
      <w:r w:rsidRPr="00A86A24">
        <w:rPr>
          <w:sz w:val="24"/>
        </w:rPr>
        <w:t>.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68DA9D1A"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25C9D8C5" w14:textId="77777777" w:rsidR="00393A80" w:rsidRPr="00A86A24" w:rsidRDefault="00393A80" w:rsidP="00B900C6">
      <w:pPr>
        <w:numPr>
          <w:ilvl w:val="0"/>
          <w:numId w:val="10"/>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4B8DCDBD" w14:textId="77777777" w:rsidR="00393A80" w:rsidRPr="00A86A24" w:rsidRDefault="00393A80" w:rsidP="00B900C6">
      <w:pPr>
        <w:numPr>
          <w:ilvl w:val="0"/>
          <w:numId w:val="10"/>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1A1AB324"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0D5719A3" w14:textId="77777777"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617F4679" w14:textId="77777777" w:rsidR="00393A80" w:rsidRPr="008B7D26" w:rsidRDefault="00393A80" w:rsidP="008B7D26">
      <w:pPr>
        <w:jc w:val="both"/>
        <w:rPr>
          <w:sz w:val="24"/>
        </w:rPr>
      </w:pPr>
      <w:bookmarkStart w:id="108" w:name="_Toc201229494"/>
      <w:r w:rsidRPr="008B7D26">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w:t>
      </w:r>
      <w:r w:rsidR="00885E85" w:rsidRPr="008B7D26">
        <w:rPr>
          <w:sz w:val="24"/>
        </w:rPr>
        <w:t>marché subséquent</w:t>
      </w:r>
      <w:r w:rsidRPr="008B7D26">
        <w:rPr>
          <w:sz w:val="24"/>
        </w:rPr>
        <w:t>.</w:t>
      </w:r>
      <w:bookmarkEnd w:id="108"/>
      <w:r w:rsidRPr="008B7D26">
        <w:rPr>
          <w:sz w:val="24"/>
        </w:rPr>
        <w:t xml:space="preserve"> </w:t>
      </w:r>
    </w:p>
    <w:p w14:paraId="6ABF7C00" w14:textId="77777777" w:rsidR="00393A80" w:rsidRPr="008B7D26" w:rsidRDefault="00393A80" w:rsidP="008B7D26">
      <w:pPr>
        <w:jc w:val="both"/>
        <w:rPr>
          <w:sz w:val="24"/>
        </w:rPr>
      </w:pPr>
      <w:bookmarkStart w:id="109" w:name="_Toc201229495"/>
      <w:r w:rsidRPr="008B7D2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w:t>
      </w:r>
      <w:r w:rsidR="00885E85" w:rsidRPr="008B7D26">
        <w:rPr>
          <w:sz w:val="24"/>
        </w:rPr>
        <w:t>marché subséquent</w:t>
      </w:r>
      <w:r w:rsidRPr="008B7D26">
        <w:rPr>
          <w:sz w:val="24"/>
        </w:rPr>
        <w:t>.</w:t>
      </w:r>
      <w:bookmarkEnd w:id="109"/>
      <w:r w:rsidRPr="008B7D26">
        <w:rPr>
          <w:sz w:val="24"/>
        </w:rPr>
        <w:t xml:space="preserve"> </w:t>
      </w:r>
    </w:p>
    <w:p w14:paraId="4F05095B" w14:textId="77777777" w:rsidR="00393A80" w:rsidRPr="008B7D26" w:rsidRDefault="00393A80" w:rsidP="008B7D26">
      <w:pPr>
        <w:jc w:val="both"/>
        <w:rPr>
          <w:sz w:val="24"/>
        </w:rPr>
      </w:pPr>
      <w:r w:rsidRPr="008B7D26">
        <w:rPr>
          <w:sz w:val="24"/>
        </w:rPr>
        <w:t xml:space="preserve">Dès réception, </w:t>
      </w:r>
      <w:r w:rsidR="00CB2123" w:rsidRPr="008B7D26">
        <w:rPr>
          <w:sz w:val="24"/>
        </w:rPr>
        <w:t>Expertise France</w:t>
      </w:r>
      <w:r w:rsidRPr="008B7D26">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14:paraId="0F44BD7B" w14:textId="77777777" w:rsidR="00393A80" w:rsidRPr="00760DF8" w:rsidRDefault="00393A80" w:rsidP="00393A80">
      <w:pPr>
        <w:jc w:val="both"/>
        <w:rPr>
          <w:sz w:val="24"/>
        </w:rPr>
      </w:pPr>
      <w:r w:rsidRPr="00760DF8">
        <w:rPr>
          <w:sz w:val="24"/>
        </w:rPr>
        <w:t xml:space="preserve">Le paiement du solde peut prendre la forme d'un recouvrement. </w:t>
      </w:r>
    </w:p>
    <w:p w14:paraId="5B25CDDB" w14:textId="77777777"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545730E9" w14:textId="77777777"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2FFC3921" w14:textId="77777777"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7A2882B3" w14:textId="77777777"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7F2AF373" w14:textId="77777777"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w:t>
      </w:r>
      <w:r w:rsidR="00885E85">
        <w:rPr>
          <w:sz w:val="24"/>
        </w:rPr>
        <w:t>marché subséquent</w:t>
      </w:r>
      <w:r w:rsidRPr="00E853F8">
        <w:rPr>
          <w:sz w:val="24"/>
        </w:rPr>
        <w:t xml:space="preserve"> </w:t>
      </w:r>
      <w:r w:rsidRPr="003248A9">
        <w:rPr>
          <w:sz w:val="24"/>
        </w:rPr>
        <w:t>conformément au point c) de l'article II.14.1.</w:t>
      </w:r>
    </w:p>
    <w:p w14:paraId="2DCA8EAB" w14:textId="77777777" w:rsidR="00393A80" w:rsidRPr="00CA6785" w:rsidRDefault="00393A80" w:rsidP="000B12BC">
      <w:pPr>
        <w:pStyle w:val="Heading3contract"/>
      </w:pPr>
      <w:r w:rsidRPr="00E82F2E">
        <w:t>II.</w:t>
      </w:r>
      <w:r w:rsidR="007F6B8D">
        <w:t>15</w:t>
      </w:r>
      <w:r w:rsidRPr="00E82F2E">
        <w:t>.8</w:t>
      </w:r>
      <w:r w:rsidRPr="00E82F2E">
        <w:tab/>
        <w:t>Intérêts de retard</w:t>
      </w:r>
    </w:p>
    <w:p w14:paraId="4ED014C1" w14:textId="77777777"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1FB919C4"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1B1E2C07"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6F8BC861" w14:textId="77777777" w:rsidR="00393A80" w:rsidRPr="003248A9" w:rsidRDefault="00393A80" w:rsidP="00393A80">
      <w:pPr>
        <w:pStyle w:val="Titre2"/>
      </w:pPr>
      <w:bookmarkStart w:id="110" w:name="_Toc201229496"/>
      <w:bookmarkStart w:id="111" w:name="_Toc201856557"/>
      <w:r w:rsidRPr="003248A9">
        <w:t>Article II. 16 – Remboursements</w:t>
      </w:r>
      <w:bookmarkEnd w:id="110"/>
      <w:bookmarkEnd w:id="111"/>
    </w:p>
    <w:p w14:paraId="60932826" w14:textId="77777777"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08781DD6" w14:textId="77777777"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031D6107" w14:textId="77777777"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19200B8F" w14:textId="77777777" w:rsidR="00393A80" w:rsidRPr="003248A9" w:rsidRDefault="00393A80" w:rsidP="00E90741">
      <w:pPr>
        <w:ind w:left="1134" w:hanging="283"/>
        <w:jc w:val="both"/>
        <w:rPr>
          <w:sz w:val="24"/>
        </w:rPr>
      </w:pPr>
      <w:r w:rsidRPr="003248A9">
        <w:rPr>
          <w:sz w:val="24"/>
        </w:rPr>
        <w:t>a)</w:t>
      </w:r>
      <w:r w:rsidRPr="003248A9">
        <w:rPr>
          <w:sz w:val="24"/>
        </w:rPr>
        <w:tab/>
        <w:t>les voyages aériens sont remboursés jusqu'à concurrence du prix maximum d'un billet en classe économique au moment de la réservation;</w:t>
      </w:r>
    </w:p>
    <w:p w14:paraId="7D682166" w14:textId="77777777" w:rsidR="00393A80" w:rsidRPr="003248A9" w:rsidRDefault="00393A80" w:rsidP="00E90741">
      <w:pPr>
        <w:ind w:left="1134" w:hanging="283"/>
        <w:jc w:val="both"/>
        <w:rPr>
          <w:sz w:val="24"/>
        </w:rPr>
      </w:pPr>
      <w:r w:rsidRPr="003248A9">
        <w:rPr>
          <w:sz w:val="24"/>
        </w:rPr>
        <w:lastRenderedPageBreak/>
        <w:t>b)</w:t>
      </w:r>
      <w:r w:rsidRPr="003248A9">
        <w:rPr>
          <w:sz w:val="24"/>
        </w:rPr>
        <w:tab/>
        <w:t>les voyages par bateau ou par chemin de fer sont remboursés jusqu'à concurrence du prix maximum d'un billet de première classe;</w:t>
      </w:r>
    </w:p>
    <w:p w14:paraId="1ED63C98"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1BDF547C" w14:textId="77777777"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61B8D48A" w14:textId="77777777"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ABE9484"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4C545263"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59E96FE9"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6B773694"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775AC0C"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585631EF" w14:textId="77777777"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7DC6750A" w14:textId="77777777"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4184EAF5" w14:textId="77777777" w:rsidR="00393A80" w:rsidRPr="00740822" w:rsidRDefault="00393A80" w:rsidP="00393A80">
      <w:pPr>
        <w:pStyle w:val="Titre2"/>
      </w:pPr>
      <w:bookmarkStart w:id="112" w:name="_Toc201229497"/>
      <w:bookmarkStart w:id="113" w:name="_Toc201856558"/>
      <w:r w:rsidRPr="00740822">
        <w:t>Article II.</w:t>
      </w:r>
      <w:r w:rsidR="007F6B8D">
        <w:t>17</w:t>
      </w:r>
      <w:r w:rsidRPr="00740822">
        <w:t>– Recouvrement</w:t>
      </w:r>
      <w:bookmarkEnd w:id="112"/>
      <w:bookmarkEnd w:id="113"/>
    </w:p>
    <w:p w14:paraId="23368941" w14:textId="77777777"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7E3C4AB1" w14:textId="77777777" w:rsidR="00393A80" w:rsidRPr="006A6F4D" w:rsidRDefault="00393A80" w:rsidP="00393A80">
      <w:pPr>
        <w:ind w:left="851" w:hanging="851"/>
        <w:jc w:val="both"/>
      </w:pPr>
      <w:r w:rsidRPr="00267EC1">
        <w:rPr>
          <w:b/>
          <w:noProof/>
          <w:color w:val="000000"/>
          <w:sz w:val="24"/>
        </w:rPr>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w:t>
      </w:r>
      <w:r w:rsidRPr="006A6F4D">
        <w:rPr>
          <w:sz w:val="24"/>
        </w:rPr>
        <w:lastRenderedPageBreak/>
        <w:t xml:space="preserve">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6A0A5E76"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2AD6BFF1" w14:textId="77777777"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w:t>
      </w:r>
      <w:r w:rsidR="00885E85">
        <w:rPr>
          <w:sz w:val="24"/>
        </w:rPr>
        <w:t>marché subséquent</w:t>
      </w:r>
      <w:r w:rsidRPr="00860F96">
        <w:rPr>
          <w:sz w:val="24"/>
        </w:rPr>
        <w:t>.</w:t>
      </w:r>
    </w:p>
    <w:p w14:paraId="0B8E49AF" w14:textId="77777777" w:rsidR="00393A80" w:rsidRPr="00AD7976" w:rsidRDefault="00393A80" w:rsidP="00393A80">
      <w:pPr>
        <w:pStyle w:val="Titre2"/>
      </w:pPr>
      <w:bookmarkStart w:id="114" w:name="_Toc201229498"/>
      <w:bookmarkStart w:id="115" w:name="_Toc201856559"/>
      <w:r w:rsidRPr="00A34B7F">
        <w:t>Article II</w:t>
      </w:r>
      <w:r w:rsidRPr="00AD7976">
        <w:t>.18 – Contrôles et audits</w:t>
      </w:r>
      <w:bookmarkEnd w:id="114"/>
      <w:bookmarkEnd w:id="115"/>
    </w:p>
    <w:p w14:paraId="6CAD7CD6" w14:textId="77777777"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569B1BC5"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1785427D" w14:textId="77777777"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6E547ACB" w14:textId="77777777"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39F79F3A" w14:textId="77777777"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BA45A0C" w14:textId="777777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1B1F605E" w14:textId="77777777" w:rsidR="00393A80" w:rsidRPr="006A6F4D" w:rsidRDefault="00393A80" w:rsidP="00393A80">
      <w:pPr>
        <w:autoSpaceDE w:val="0"/>
        <w:autoSpaceDN w:val="0"/>
        <w:adjustRightInd w:val="0"/>
        <w:ind w:left="851"/>
        <w:jc w:val="both"/>
        <w:rPr>
          <w:sz w:val="24"/>
        </w:rPr>
      </w:pPr>
      <w:r w:rsidRPr="006A6F4D">
        <w:rPr>
          <w:sz w:val="24"/>
        </w:rPr>
        <w:lastRenderedPageBreak/>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DC0C01B" w14:textId="77777777"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6968A01" w14:textId="77777777"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5838F2B2" w14:textId="77777777" w:rsidR="00CE6392" w:rsidRDefault="00CE6392" w:rsidP="00393A80">
      <w:pPr>
        <w:ind w:left="851" w:hanging="851"/>
        <w:jc w:val="both"/>
        <w:rPr>
          <w:noProof/>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1BC3888F" w14:textId="77777777" w:rsidR="001E0CA7" w:rsidRPr="0020783F" w:rsidRDefault="001E0CA7" w:rsidP="007A579A">
      <w:pPr>
        <w:ind w:left="851" w:hanging="851"/>
        <w:jc w:val="both"/>
        <w:rPr>
          <w:sz w:val="24"/>
        </w:rPr>
      </w:pPr>
    </w:p>
    <w:p w14:paraId="375A8D06" w14:textId="77777777" w:rsidR="00396252" w:rsidRDefault="00396252" w:rsidP="00396252">
      <w:pPr>
        <w:rPr>
          <w:sz w:val="24"/>
        </w:rPr>
      </w:pPr>
    </w:p>
    <w:p w14:paraId="27E0E610" w14:textId="77777777" w:rsidR="00396252" w:rsidRPr="00A222DB" w:rsidRDefault="00396252" w:rsidP="00396252">
      <w:pPr>
        <w:spacing w:before="0" w:beforeAutospacing="0" w:after="0" w:afterAutospacing="0"/>
        <w:rPr>
          <w:sz w:val="24"/>
        </w:rPr>
        <w:sectPr w:rsidR="00396252" w:rsidRPr="00A222DB" w:rsidSect="004767B8">
          <w:headerReference w:type="default" r:id="rId26"/>
          <w:footerReference w:type="first" r:id="rId27"/>
          <w:pgSz w:w="11906" w:h="16838"/>
          <w:pgMar w:top="1021" w:right="991" w:bottom="1021" w:left="1588" w:header="720" w:footer="720" w:gutter="0"/>
          <w:cols w:space="720"/>
          <w:titlePg/>
          <w:docGrid w:linePitch="272"/>
        </w:sectPr>
      </w:pPr>
      <w:bookmarkStart w:id="116" w:name="_Toc454556205"/>
    </w:p>
    <w:bookmarkEnd w:id="116"/>
    <w:p w14:paraId="79E6C734" w14:textId="77777777" w:rsidR="00396252" w:rsidRDefault="00396252" w:rsidP="00396252">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Pr>
          <w:b/>
          <w:bCs/>
          <w:caps/>
          <w:sz w:val="28"/>
          <w:szCs w:val="26"/>
        </w:rPr>
        <w:br/>
      </w:r>
      <w:r w:rsidRPr="00B42F7B">
        <w:rPr>
          <w:b/>
          <w:sz w:val="28"/>
        </w:rPr>
        <w:t>2</w:t>
      </w:r>
      <w:r w:rsidRPr="00BA396D">
        <w:rPr>
          <w:b/>
          <w:sz w:val="28"/>
          <w:highlight w:val="green"/>
        </w:rPr>
        <w:t>X</w:t>
      </w:r>
      <w:r>
        <w:rPr>
          <w:b/>
          <w:sz w:val="28"/>
        </w:rPr>
        <w:t>-BC</w:t>
      </w:r>
      <w:r w:rsidRPr="00B42F7B">
        <w:rPr>
          <w:b/>
          <w:sz w:val="28"/>
          <w:highlight w:val="green"/>
        </w:rPr>
        <w:t>X</w:t>
      </w:r>
      <w:r>
        <w:rPr>
          <w:b/>
          <w:sz w:val="28"/>
          <w:highlight w:val="green"/>
        </w:rPr>
        <w:t>XX</w:t>
      </w:r>
      <w:r w:rsidRPr="00B42F7B">
        <w:rPr>
          <w:b/>
          <w:sz w:val="28"/>
          <w:highlight w:val="green"/>
        </w:rPr>
        <w:t>X</w:t>
      </w:r>
    </w:p>
    <w:p w14:paraId="25751C77" w14:textId="77777777" w:rsidR="00396252" w:rsidRPr="007E3392" w:rsidRDefault="00396252" w:rsidP="00396252">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Pr="002068AD">
        <w:rPr>
          <w:b/>
          <w:bCs/>
          <w:caps/>
          <w:sz w:val="22"/>
          <w:szCs w:val="26"/>
        </w:rPr>
        <w:t>2</w:t>
      </w:r>
      <w:r w:rsidR="002068AD" w:rsidRPr="002068AD">
        <w:rPr>
          <w:b/>
          <w:bCs/>
          <w:caps/>
          <w:sz w:val="22"/>
          <w:szCs w:val="26"/>
        </w:rPr>
        <w:t>5</w:t>
      </w:r>
      <w:r w:rsidRPr="002068AD">
        <w:rPr>
          <w:b/>
          <w:bCs/>
          <w:caps/>
          <w:sz w:val="22"/>
          <w:szCs w:val="26"/>
        </w:rPr>
        <w:t>-AC</w:t>
      </w:r>
      <w:r w:rsidR="002068AD" w:rsidRPr="002068AD">
        <w:rPr>
          <w:b/>
          <w:bCs/>
          <w:caps/>
          <w:sz w:val="22"/>
          <w:szCs w:val="26"/>
        </w:rPr>
        <w:t>5299</w:t>
      </w:r>
      <w:r w:rsidRPr="007E3392">
        <w:rPr>
          <w:b/>
          <w:bCs/>
          <w:caps/>
          <w:sz w:val="28"/>
          <w:szCs w:val="26"/>
        </w:rPr>
        <w:br/>
      </w:r>
    </w:p>
    <w:tbl>
      <w:tblPr>
        <w:tblW w:w="0" w:type="auto"/>
        <w:tblLook w:val="04A0" w:firstRow="1" w:lastRow="0" w:firstColumn="1" w:lastColumn="0" w:noHBand="0" w:noVBand="1"/>
      </w:tblPr>
      <w:tblGrid>
        <w:gridCol w:w="216"/>
        <w:gridCol w:w="2667"/>
        <w:gridCol w:w="269"/>
        <w:gridCol w:w="1460"/>
        <w:gridCol w:w="1685"/>
        <w:gridCol w:w="2943"/>
        <w:gridCol w:w="87"/>
      </w:tblGrid>
      <w:tr w:rsidR="00396252" w:rsidRPr="0069556C" w14:paraId="415BC66D" w14:textId="77777777" w:rsidTr="00396252">
        <w:trPr>
          <w:gridAfter w:val="3"/>
          <w:wAfter w:w="4937" w:type="dxa"/>
        </w:trPr>
        <w:tc>
          <w:tcPr>
            <w:tcW w:w="4644" w:type="dxa"/>
            <w:gridSpan w:val="4"/>
            <w:shd w:val="clear" w:color="auto" w:fill="D9D9D9" w:themeFill="background1" w:themeFillShade="D9"/>
            <w:vAlign w:val="center"/>
          </w:tcPr>
          <w:p w14:paraId="18D1BD67" w14:textId="77777777" w:rsidR="00396252" w:rsidRPr="0069556C" w:rsidRDefault="00396252" w:rsidP="00396252">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r w:rsidR="00396252" w:rsidRPr="00361126" w14:paraId="133682A9" w14:textId="77777777" w:rsidTr="00396252">
        <w:tblPrEx>
          <w:tblCellMar>
            <w:left w:w="70" w:type="dxa"/>
            <w:right w:w="70" w:type="dxa"/>
          </w:tblCellMar>
          <w:tblLook w:val="0000" w:firstRow="0" w:lastRow="0" w:firstColumn="0" w:lastColumn="0" w:noHBand="0" w:noVBand="0"/>
        </w:tblPrEx>
        <w:trPr>
          <w:gridBefore w:val="1"/>
        </w:trPr>
        <w:tc>
          <w:tcPr>
            <w:tcW w:w="9511" w:type="dxa"/>
            <w:gridSpan w:val="6"/>
            <w:tcBorders>
              <w:bottom w:val="single" w:sz="4" w:space="0" w:color="000000"/>
            </w:tcBorders>
          </w:tcPr>
          <w:p w14:paraId="78D80B4D" w14:textId="77777777" w:rsidR="00396252" w:rsidRPr="007E3392" w:rsidRDefault="00396252" w:rsidP="00396252">
            <w:pPr>
              <w:rPr>
                <w:sz w:val="22"/>
              </w:rPr>
            </w:pPr>
            <w:r>
              <w:rPr>
                <w:smallCaps/>
                <w:sz w:val="22"/>
              </w:rPr>
              <w:br/>
            </w:r>
            <w:r w:rsidRPr="007E3392">
              <w:rPr>
                <w:smallCaps/>
                <w:sz w:val="22"/>
              </w:rPr>
              <w:t>Rappel de l’identification du contrat</w:t>
            </w:r>
          </w:p>
        </w:tc>
      </w:tr>
      <w:tr w:rsidR="00396252" w:rsidRPr="00FD0082" w14:paraId="5E90CFD6"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auto"/>
              <w:left w:val="single" w:sz="4" w:space="0" w:color="auto"/>
              <w:bottom w:val="single" w:sz="4" w:space="0" w:color="000000"/>
            </w:tcBorders>
          </w:tcPr>
          <w:p w14:paraId="2D3F4046" w14:textId="77777777" w:rsidR="00396252" w:rsidRPr="00BA396D" w:rsidRDefault="00396252" w:rsidP="00396252">
            <w:pPr>
              <w:rPr>
                <w:sz w:val="22"/>
                <w:szCs w:val="22"/>
              </w:rPr>
            </w:pPr>
            <w:r w:rsidRPr="00BA396D">
              <w:rPr>
                <w:sz w:val="22"/>
                <w:szCs w:val="22"/>
              </w:rPr>
              <w:t>Objet du contrat-cadre</w:t>
            </w:r>
          </w:p>
        </w:tc>
        <w:tc>
          <w:tcPr>
            <w:tcW w:w="6592" w:type="dxa"/>
            <w:gridSpan w:val="4"/>
            <w:tcBorders>
              <w:top w:val="single" w:sz="4" w:space="0" w:color="auto"/>
              <w:left w:val="single" w:sz="4" w:space="0" w:color="000000"/>
              <w:bottom w:val="single" w:sz="4" w:space="0" w:color="000000"/>
              <w:right w:val="single" w:sz="4" w:space="0" w:color="auto"/>
            </w:tcBorders>
            <w:vAlign w:val="center"/>
          </w:tcPr>
          <w:p w14:paraId="6E917DB7" w14:textId="77777777" w:rsidR="00396252" w:rsidRPr="00BA396D" w:rsidRDefault="00396252" w:rsidP="00396252">
            <w:pPr>
              <w:snapToGrid w:val="0"/>
              <w:rPr>
                <w:sz w:val="22"/>
                <w:szCs w:val="22"/>
              </w:rPr>
            </w:pPr>
            <w:r w:rsidRPr="00396252">
              <w:rPr>
                <w:sz w:val="22"/>
                <w:szCs w:val="22"/>
              </w:rPr>
              <w:t>CONTRAT-CADRE DE PRESTATION DE SERVICES D’AUDITS</w:t>
            </w:r>
          </w:p>
        </w:tc>
      </w:tr>
      <w:tr w:rsidR="00396252" w:rsidRPr="00FD0082" w14:paraId="16351A19"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auto"/>
              <w:left w:val="single" w:sz="4" w:space="0" w:color="auto"/>
              <w:bottom w:val="single" w:sz="4" w:space="0" w:color="000000"/>
            </w:tcBorders>
          </w:tcPr>
          <w:p w14:paraId="74823668" w14:textId="77777777" w:rsidR="00396252" w:rsidRPr="00BA396D" w:rsidRDefault="00396252" w:rsidP="00396252">
            <w:pPr>
              <w:rPr>
                <w:sz w:val="22"/>
                <w:szCs w:val="22"/>
              </w:rPr>
            </w:pPr>
            <w:r w:rsidRPr="00BA396D">
              <w:rPr>
                <w:sz w:val="22"/>
                <w:szCs w:val="22"/>
              </w:rPr>
              <w:t>Numéro du contrat-cadre</w:t>
            </w:r>
          </w:p>
        </w:tc>
        <w:tc>
          <w:tcPr>
            <w:tcW w:w="6592" w:type="dxa"/>
            <w:gridSpan w:val="4"/>
            <w:tcBorders>
              <w:top w:val="single" w:sz="4" w:space="0" w:color="auto"/>
              <w:left w:val="single" w:sz="4" w:space="0" w:color="000000"/>
              <w:bottom w:val="single" w:sz="4" w:space="0" w:color="000000"/>
              <w:right w:val="single" w:sz="4" w:space="0" w:color="auto"/>
            </w:tcBorders>
            <w:vAlign w:val="center"/>
          </w:tcPr>
          <w:p w14:paraId="426E22AD" w14:textId="5ACD5B4D" w:rsidR="00396252" w:rsidRPr="00BA396D" w:rsidRDefault="00F76903" w:rsidP="00396252">
            <w:pPr>
              <w:snapToGrid w:val="0"/>
              <w:rPr>
                <w:sz w:val="22"/>
                <w:szCs w:val="22"/>
              </w:rPr>
            </w:pPr>
            <w:r>
              <w:rPr>
                <w:b/>
                <w:bCs/>
                <w:caps/>
                <w:sz w:val="22"/>
                <w:szCs w:val="26"/>
              </w:rPr>
              <w:t>xxxxx</w:t>
            </w:r>
          </w:p>
        </w:tc>
      </w:tr>
      <w:tr w:rsidR="00396252" w:rsidRPr="00FD0082" w14:paraId="5594CD31"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000000"/>
              <w:left w:val="single" w:sz="4" w:space="0" w:color="auto"/>
              <w:bottom w:val="single" w:sz="4" w:space="0" w:color="auto"/>
            </w:tcBorders>
          </w:tcPr>
          <w:p w14:paraId="0E36DCFE" w14:textId="77777777" w:rsidR="00396252" w:rsidRPr="00BA396D" w:rsidRDefault="00396252" w:rsidP="00396252">
            <w:pPr>
              <w:rPr>
                <w:sz w:val="22"/>
                <w:szCs w:val="22"/>
              </w:rPr>
            </w:pPr>
            <w:r w:rsidRPr="00BA396D">
              <w:rPr>
                <w:sz w:val="22"/>
                <w:szCs w:val="22"/>
              </w:rPr>
              <w:t>Contractant</w:t>
            </w:r>
          </w:p>
        </w:tc>
        <w:tc>
          <w:tcPr>
            <w:tcW w:w="6592" w:type="dxa"/>
            <w:gridSpan w:val="4"/>
            <w:tcBorders>
              <w:top w:val="single" w:sz="4" w:space="0" w:color="000000"/>
              <w:left w:val="single" w:sz="4" w:space="0" w:color="000000"/>
              <w:bottom w:val="single" w:sz="4" w:space="0" w:color="auto"/>
              <w:right w:val="single" w:sz="4" w:space="0" w:color="auto"/>
            </w:tcBorders>
            <w:vAlign w:val="center"/>
          </w:tcPr>
          <w:p w14:paraId="69C8C0AE" w14:textId="77777777" w:rsidR="00396252" w:rsidRPr="00BA396D" w:rsidRDefault="00396252" w:rsidP="00396252">
            <w:pPr>
              <w:snapToGrid w:val="0"/>
              <w:rPr>
                <w:sz w:val="22"/>
                <w:szCs w:val="22"/>
              </w:rPr>
            </w:pPr>
          </w:p>
        </w:tc>
      </w:tr>
      <w:tr w:rsidR="00396252" w:rsidRPr="00FD0082" w14:paraId="6DE02BD7"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000000"/>
              <w:left w:val="single" w:sz="4" w:space="0" w:color="auto"/>
              <w:bottom w:val="single" w:sz="4" w:space="0" w:color="auto"/>
            </w:tcBorders>
          </w:tcPr>
          <w:p w14:paraId="4890C5EA" w14:textId="77777777" w:rsidR="00396252" w:rsidRPr="00BA396D" w:rsidRDefault="00396252" w:rsidP="00396252">
            <w:pPr>
              <w:rPr>
                <w:sz w:val="22"/>
                <w:szCs w:val="22"/>
              </w:rPr>
            </w:pPr>
            <w:r w:rsidRPr="00BA396D">
              <w:rPr>
                <w:sz w:val="22"/>
                <w:szCs w:val="22"/>
              </w:rPr>
              <w:t>Date de notification</w:t>
            </w:r>
          </w:p>
        </w:tc>
        <w:tc>
          <w:tcPr>
            <w:tcW w:w="6592" w:type="dxa"/>
            <w:gridSpan w:val="4"/>
            <w:tcBorders>
              <w:top w:val="single" w:sz="4" w:space="0" w:color="000000"/>
              <w:left w:val="single" w:sz="4" w:space="0" w:color="000000"/>
              <w:bottom w:val="single" w:sz="4" w:space="0" w:color="auto"/>
              <w:right w:val="single" w:sz="4" w:space="0" w:color="auto"/>
            </w:tcBorders>
            <w:vAlign w:val="center"/>
          </w:tcPr>
          <w:p w14:paraId="7505782C" w14:textId="77777777" w:rsidR="00396252" w:rsidRPr="00BA396D" w:rsidRDefault="00396252" w:rsidP="00396252">
            <w:pPr>
              <w:snapToGrid w:val="0"/>
              <w:rPr>
                <w:sz w:val="22"/>
                <w:szCs w:val="22"/>
              </w:rPr>
            </w:pPr>
          </w:p>
        </w:tc>
      </w:tr>
      <w:tr w:rsidR="00396252" w:rsidRPr="00FD0082" w14:paraId="064CB4DA"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9493" w:type="dxa"/>
            <w:gridSpan w:val="5"/>
            <w:tcBorders>
              <w:top w:val="single" w:sz="4" w:space="0" w:color="auto"/>
              <w:bottom w:val="single" w:sz="4" w:space="0" w:color="auto"/>
            </w:tcBorders>
          </w:tcPr>
          <w:p w14:paraId="4BFEBAAF" w14:textId="77777777" w:rsidR="00396252" w:rsidRPr="00FD0082" w:rsidRDefault="00396252" w:rsidP="00396252">
            <w:pPr>
              <w:pStyle w:val="En-tte"/>
              <w:rPr>
                <w:sz w:val="22"/>
              </w:rPr>
            </w:pPr>
            <w:r w:rsidRPr="00FD0082">
              <w:rPr>
                <w:smallCaps/>
                <w:sz w:val="22"/>
              </w:rPr>
              <w:br/>
              <w:t>Bon de commande</w:t>
            </w:r>
          </w:p>
        </w:tc>
      </w:tr>
      <w:tr w:rsidR="00396252" w:rsidRPr="00FD0082" w14:paraId="4CADD071"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auto"/>
              <w:left w:val="single" w:sz="4" w:space="0" w:color="auto"/>
              <w:bottom w:val="single" w:sz="4" w:space="0" w:color="auto"/>
            </w:tcBorders>
          </w:tcPr>
          <w:p w14:paraId="47C2CA8A" w14:textId="77777777" w:rsidR="00396252" w:rsidRPr="00BA396D" w:rsidRDefault="00396252" w:rsidP="00396252">
            <w:pPr>
              <w:rPr>
                <w:sz w:val="22"/>
                <w:szCs w:val="22"/>
              </w:rPr>
            </w:pPr>
            <w:r w:rsidRPr="00BA396D">
              <w:rPr>
                <w:sz w:val="22"/>
                <w:szCs w:val="22"/>
              </w:rPr>
              <w:t>Numéro du BC</w:t>
            </w:r>
          </w:p>
        </w:tc>
        <w:tc>
          <w:tcPr>
            <w:tcW w:w="6592" w:type="dxa"/>
            <w:gridSpan w:val="4"/>
            <w:tcBorders>
              <w:top w:val="single" w:sz="4" w:space="0" w:color="auto"/>
              <w:left w:val="single" w:sz="4" w:space="0" w:color="000000"/>
              <w:bottom w:val="single" w:sz="4" w:space="0" w:color="auto"/>
              <w:right w:val="single" w:sz="4" w:space="0" w:color="auto"/>
            </w:tcBorders>
            <w:vAlign w:val="center"/>
          </w:tcPr>
          <w:p w14:paraId="16E0E494" w14:textId="77777777" w:rsidR="00396252" w:rsidRPr="00BA396D" w:rsidRDefault="00396252" w:rsidP="00396252">
            <w:pPr>
              <w:snapToGrid w:val="0"/>
              <w:rPr>
                <w:b/>
                <w:sz w:val="22"/>
                <w:szCs w:val="22"/>
              </w:rPr>
            </w:pPr>
          </w:p>
        </w:tc>
      </w:tr>
      <w:tr w:rsidR="00396252" w:rsidRPr="00361126" w14:paraId="0279EF6B"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auto"/>
              <w:left w:val="single" w:sz="4" w:space="0" w:color="auto"/>
              <w:bottom w:val="single" w:sz="4" w:space="0" w:color="auto"/>
            </w:tcBorders>
          </w:tcPr>
          <w:p w14:paraId="43224E40" w14:textId="77777777" w:rsidR="00396252" w:rsidRPr="00BA396D" w:rsidRDefault="00396252" w:rsidP="00396252">
            <w:pPr>
              <w:rPr>
                <w:sz w:val="22"/>
                <w:szCs w:val="22"/>
              </w:rPr>
            </w:pPr>
            <w:r w:rsidRPr="00BA396D">
              <w:rPr>
                <w:sz w:val="22"/>
                <w:szCs w:val="22"/>
              </w:rPr>
              <w:t>Objet du bon de commande</w:t>
            </w:r>
          </w:p>
        </w:tc>
        <w:tc>
          <w:tcPr>
            <w:tcW w:w="6592" w:type="dxa"/>
            <w:gridSpan w:val="4"/>
            <w:tcBorders>
              <w:top w:val="single" w:sz="4" w:space="0" w:color="auto"/>
              <w:left w:val="single" w:sz="4" w:space="0" w:color="000000"/>
              <w:bottom w:val="single" w:sz="4" w:space="0" w:color="auto"/>
              <w:right w:val="single" w:sz="4" w:space="0" w:color="auto"/>
            </w:tcBorders>
            <w:vAlign w:val="center"/>
          </w:tcPr>
          <w:p w14:paraId="1620C6DE" w14:textId="77777777" w:rsidR="00396252" w:rsidRPr="00BA396D" w:rsidRDefault="00396252" w:rsidP="00396252">
            <w:pPr>
              <w:snapToGrid w:val="0"/>
              <w:rPr>
                <w:sz w:val="22"/>
                <w:szCs w:val="22"/>
              </w:rPr>
            </w:pPr>
          </w:p>
        </w:tc>
      </w:tr>
      <w:tr w:rsidR="00396252" w:rsidRPr="0069556C" w14:paraId="63AEAA5F"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auto"/>
              <w:left w:val="single" w:sz="4" w:space="0" w:color="auto"/>
              <w:bottom w:val="single" w:sz="4" w:space="0" w:color="auto"/>
            </w:tcBorders>
          </w:tcPr>
          <w:p w14:paraId="1AE29B43" w14:textId="77777777" w:rsidR="00396252" w:rsidRPr="00BA396D" w:rsidRDefault="00396252" w:rsidP="00396252">
            <w:pPr>
              <w:rPr>
                <w:sz w:val="22"/>
                <w:szCs w:val="22"/>
              </w:rPr>
            </w:pPr>
            <w:r w:rsidRPr="00BA396D">
              <w:rPr>
                <w:sz w:val="22"/>
                <w:szCs w:val="22"/>
              </w:rPr>
              <w:t>Livrables intermédiaires</w:t>
            </w:r>
          </w:p>
        </w:tc>
        <w:tc>
          <w:tcPr>
            <w:tcW w:w="6592" w:type="dxa"/>
            <w:gridSpan w:val="4"/>
            <w:tcBorders>
              <w:top w:val="single" w:sz="4" w:space="0" w:color="auto"/>
              <w:left w:val="single" w:sz="4" w:space="0" w:color="000000"/>
              <w:bottom w:val="single" w:sz="4" w:space="0" w:color="auto"/>
              <w:right w:val="single" w:sz="4" w:space="0" w:color="auto"/>
            </w:tcBorders>
            <w:vAlign w:val="center"/>
          </w:tcPr>
          <w:p w14:paraId="026B2673" w14:textId="77777777" w:rsidR="00396252" w:rsidRPr="00BA396D" w:rsidRDefault="00396252" w:rsidP="00396252">
            <w:pPr>
              <w:snapToGrid w:val="0"/>
              <w:rPr>
                <w:sz w:val="22"/>
                <w:szCs w:val="22"/>
              </w:rPr>
            </w:pPr>
          </w:p>
        </w:tc>
      </w:tr>
      <w:tr w:rsidR="00396252" w:rsidRPr="0069556C" w14:paraId="19583B12"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auto"/>
              <w:left w:val="single" w:sz="4" w:space="0" w:color="auto"/>
              <w:bottom w:val="single" w:sz="4" w:space="0" w:color="auto"/>
            </w:tcBorders>
          </w:tcPr>
          <w:p w14:paraId="3ECAD8E1" w14:textId="77777777" w:rsidR="00396252" w:rsidRPr="00BA396D" w:rsidRDefault="00396252" w:rsidP="00396252">
            <w:pPr>
              <w:rPr>
                <w:sz w:val="22"/>
                <w:szCs w:val="22"/>
              </w:rPr>
            </w:pPr>
            <w:r w:rsidRPr="00BA396D">
              <w:rPr>
                <w:sz w:val="22"/>
                <w:szCs w:val="22"/>
              </w:rPr>
              <w:t>Livrables finaux</w:t>
            </w:r>
          </w:p>
        </w:tc>
        <w:tc>
          <w:tcPr>
            <w:tcW w:w="6592" w:type="dxa"/>
            <w:gridSpan w:val="4"/>
            <w:tcBorders>
              <w:top w:val="single" w:sz="4" w:space="0" w:color="auto"/>
              <w:left w:val="single" w:sz="4" w:space="0" w:color="000000"/>
              <w:bottom w:val="single" w:sz="4" w:space="0" w:color="auto"/>
              <w:right w:val="single" w:sz="4" w:space="0" w:color="auto"/>
            </w:tcBorders>
            <w:vAlign w:val="center"/>
          </w:tcPr>
          <w:p w14:paraId="06EEFC78" w14:textId="77777777" w:rsidR="00396252" w:rsidRPr="00BA396D" w:rsidRDefault="00396252" w:rsidP="00396252">
            <w:pPr>
              <w:snapToGrid w:val="0"/>
              <w:rPr>
                <w:sz w:val="22"/>
                <w:szCs w:val="22"/>
              </w:rPr>
            </w:pPr>
          </w:p>
        </w:tc>
      </w:tr>
      <w:tr w:rsidR="00396252" w:rsidRPr="00361126" w14:paraId="4AE272F4"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auto"/>
              <w:left w:val="single" w:sz="4" w:space="0" w:color="auto"/>
              <w:bottom w:val="single" w:sz="4" w:space="0" w:color="auto"/>
            </w:tcBorders>
          </w:tcPr>
          <w:p w14:paraId="68DEF335" w14:textId="77777777" w:rsidR="00396252" w:rsidRPr="00BA396D" w:rsidRDefault="00396252" w:rsidP="00396252">
            <w:pPr>
              <w:rPr>
                <w:sz w:val="22"/>
                <w:szCs w:val="22"/>
              </w:rPr>
            </w:pPr>
            <w:r w:rsidRPr="00BA396D">
              <w:rPr>
                <w:sz w:val="22"/>
                <w:szCs w:val="22"/>
              </w:rPr>
              <w:t xml:space="preserve">Durée d’exécution </w:t>
            </w:r>
            <w:r>
              <w:rPr>
                <w:sz w:val="22"/>
                <w:szCs w:val="22"/>
              </w:rPr>
              <w:t>/</w:t>
            </w:r>
            <w:r w:rsidRPr="00BA396D">
              <w:rPr>
                <w:sz w:val="22"/>
                <w:szCs w:val="22"/>
              </w:rPr>
              <w:t xml:space="preserve"> livraison</w:t>
            </w:r>
          </w:p>
        </w:tc>
        <w:tc>
          <w:tcPr>
            <w:tcW w:w="6592" w:type="dxa"/>
            <w:gridSpan w:val="4"/>
            <w:tcBorders>
              <w:top w:val="single" w:sz="4" w:space="0" w:color="auto"/>
              <w:left w:val="single" w:sz="4" w:space="0" w:color="000000"/>
              <w:bottom w:val="single" w:sz="4" w:space="0" w:color="auto"/>
              <w:right w:val="single" w:sz="4" w:space="0" w:color="auto"/>
            </w:tcBorders>
            <w:vAlign w:val="center"/>
          </w:tcPr>
          <w:p w14:paraId="4C253802" w14:textId="77777777" w:rsidR="00396252" w:rsidRPr="00BA396D" w:rsidRDefault="00396252" w:rsidP="00396252">
            <w:pPr>
              <w:snapToGrid w:val="0"/>
              <w:rPr>
                <w:sz w:val="22"/>
                <w:szCs w:val="22"/>
              </w:rPr>
            </w:pPr>
          </w:p>
        </w:tc>
      </w:tr>
      <w:tr w:rsidR="00396252" w:rsidRPr="0069556C" w14:paraId="5DC96D27" w14:textId="77777777" w:rsidTr="00396252">
        <w:tblPrEx>
          <w:tblCellMar>
            <w:left w:w="70" w:type="dxa"/>
            <w:right w:w="70" w:type="dxa"/>
          </w:tblCellMar>
          <w:tblLook w:val="0000" w:firstRow="0" w:lastRow="0" w:firstColumn="0" w:lastColumn="0" w:noHBand="0" w:noVBand="0"/>
        </w:tblPrEx>
        <w:trPr>
          <w:gridBefore w:val="1"/>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6C60C664" w14:textId="77777777" w:rsidR="00396252" w:rsidRPr="00BA396D" w:rsidRDefault="00396252" w:rsidP="00396252">
            <w:pPr>
              <w:rPr>
                <w:sz w:val="22"/>
                <w:szCs w:val="22"/>
              </w:rPr>
            </w:pPr>
            <w:r w:rsidRPr="00BA396D">
              <w:rPr>
                <w:sz w:val="22"/>
                <w:szCs w:val="22"/>
              </w:rPr>
              <w:t>Conditions particulières d’exécution</w:t>
            </w:r>
          </w:p>
        </w:tc>
        <w:tc>
          <w:tcPr>
            <w:tcW w:w="6592" w:type="dxa"/>
            <w:gridSpan w:val="4"/>
            <w:tcBorders>
              <w:top w:val="single" w:sz="4" w:space="0" w:color="auto"/>
              <w:left w:val="single" w:sz="4" w:space="0" w:color="auto"/>
              <w:bottom w:val="single" w:sz="4" w:space="0" w:color="auto"/>
              <w:right w:val="single" w:sz="4" w:space="0" w:color="auto"/>
            </w:tcBorders>
            <w:vAlign w:val="center"/>
          </w:tcPr>
          <w:p w14:paraId="57A7DCAB" w14:textId="77777777" w:rsidR="00396252" w:rsidRPr="00BA396D" w:rsidRDefault="00396252" w:rsidP="00396252">
            <w:pPr>
              <w:snapToGrid w:val="0"/>
              <w:rPr>
                <w:sz w:val="22"/>
                <w:szCs w:val="22"/>
              </w:rPr>
            </w:pPr>
          </w:p>
        </w:tc>
      </w:tr>
      <w:bookmarkStart w:id="117" w:name="_MON_1497356362"/>
      <w:bookmarkEnd w:id="117"/>
      <w:tr w:rsidR="00396252" w:rsidRPr="00361126" w14:paraId="642DEE86" w14:textId="77777777" w:rsidTr="00396252">
        <w:tblPrEx>
          <w:tblCellMar>
            <w:left w:w="70" w:type="dxa"/>
            <w:right w:w="70" w:type="dxa"/>
          </w:tblCellMar>
          <w:tblLook w:val="0000" w:firstRow="0" w:lastRow="0" w:firstColumn="0" w:lastColumn="0" w:noHBand="0" w:noVBand="0"/>
        </w:tblPrEx>
        <w:trPr>
          <w:gridBefore w:val="1"/>
        </w:trPr>
        <w:tc>
          <w:tcPr>
            <w:tcW w:w="9511" w:type="dxa"/>
            <w:gridSpan w:val="6"/>
            <w:tcBorders>
              <w:bottom w:val="single" w:sz="4" w:space="0" w:color="auto"/>
            </w:tcBorders>
          </w:tcPr>
          <w:p w14:paraId="136D53A0" w14:textId="77777777" w:rsidR="00396252" w:rsidRPr="00740822" w:rsidRDefault="00396252" w:rsidP="00396252">
            <w:pPr>
              <w:pStyle w:val="En-tte"/>
              <w:rPr>
                <w:smallCaps/>
                <w:sz w:val="22"/>
              </w:rPr>
            </w:pPr>
            <w:r w:rsidRPr="0069556C">
              <w:rPr>
                <w:b/>
                <w:sz w:val="24"/>
                <w:szCs w:val="22"/>
              </w:rPr>
              <w:object w:dxaOrig="9198" w:dyaOrig="3171" w14:anchorId="010D0B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164pt" o:ole="">
                  <v:imagedata r:id="rId28" o:title=""/>
                </v:shape>
                <o:OLEObject Type="Embed" ProgID="Excel.Sheet.12" ShapeID="_x0000_i1025" DrawAspect="Content" ObjectID="_1812469202" r:id="rId29"/>
              </w:object>
            </w:r>
            <w:r w:rsidRPr="00FD0082">
              <w:rPr>
                <w:b/>
                <w:sz w:val="24"/>
                <w:szCs w:val="22"/>
              </w:rPr>
              <w:br/>
            </w:r>
            <w:r w:rsidRPr="00860F96">
              <w:rPr>
                <w:smallCaps/>
              </w:rPr>
              <w:t>Signature de la personne habilitée à engager Expertise France</w:t>
            </w:r>
          </w:p>
        </w:tc>
      </w:tr>
      <w:tr w:rsidR="00396252" w:rsidRPr="00361126" w14:paraId="7FD749F4" w14:textId="77777777" w:rsidTr="00396252">
        <w:tblPrEx>
          <w:tblCellMar>
            <w:left w:w="70" w:type="dxa"/>
            <w:right w:w="70" w:type="dxa"/>
          </w:tblCellMar>
          <w:tblLook w:val="0000" w:firstRow="0" w:lastRow="0" w:firstColumn="0" w:lastColumn="0" w:noHBand="0" w:noVBand="0"/>
        </w:tblPrEx>
        <w:trPr>
          <w:gridBefore w:val="1"/>
        </w:trPr>
        <w:tc>
          <w:tcPr>
            <w:tcW w:w="9511" w:type="dxa"/>
            <w:gridSpan w:val="6"/>
            <w:tcBorders>
              <w:bottom w:val="single" w:sz="4" w:space="0" w:color="auto"/>
            </w:tcBorders>
          </w:tcPr>
          <w:p w14:paraId="51247CDF" w14:textId="77777777" w:rsidR="00396252" w:rsidRPr="0069556C" w:rsidRDefault="00396252" w:rsidP="00396252">
            <w:pPr>
              <w:pStyle w:val="En-tte"/>
              <w:rPr>
                <w:b/>
                <w:sz w:val="24"/>
                <w:szCs w:val="22"/>
              </w:rPr>
            </w:pPr>
          </w:p>
        </w:tc>
      </w:tr>
      <w:tr w:rsidR="00396252" w:rsidRPr="00FD0082" w14:paraId="13A48003" w14:textId="77777777" w:rsidTr="00396252">
        <w:tblPrEx>
          <w:tblCellMar>
            <w:left w:w="70" w:type="dxa"/>
            <w:right w:w="70" w:type="dxa"/>
          </w:tblCellMar>
          <w:tblLook w:val="0000" w:firstRow="0" w:lastRow="0" w:firstColumn="0" w:lastColumn="0" w:noHBand="0" w:noVBand="0"/>
        </w:tblPrEx>
        <w:trPr>
          <w:gridBefore w:val="1"/>
        </w:trPr>
        <w:tc>
          <w:tcPr>
            <w:tcW w:w="3171" w:type="dxa"/>
            <w:gridSpan w:val="2"/>
            <w:tcBorders>
              <w:top w:val="single" w:sz="4" w:space="0" w:color="000000"/>
              <w:left w:val="single" w:sz="4" w:space="0" w:color="auto"/>
              <w:bottom w:val="single" w:sz="4" w:space="0" w:color="000000"/>
            </w:tcBorders>
          </w:tcPr>
          <w:p w14:paraId="013D18C5" w14:textId="77777777" w:rsidR="00396252" w:rsidRPr="00FD0082" w:rsidRDefault="00396252" w:rsidP="00396252">
            <w:pPr>
              <w:rPr>
                <w:sz w:val="22"/>
              </w:rPr>
            </w:pPr>
            <w:r w:rsidRPr="00FD0082">
              <w:rPr>
                <w:sz w:val="22"/>
              </w:rPr>
              <w:t>Fonction et nom</w:t>
            </w:r>
          </w:p>
        </w:tc>
        <w:tc>
          <w:tcPr>
            <w:tcW w:w="3174" w:type="dxa"/>
            <w:gridSpan w:val="2"/>
            <w:tcBorders>
              <w:top w:val="single" w:sz="4" w:space="0" w:color="000000"/>
              <w:left w:val="single" w:sz="4" w:space="0" w:color="000000"/>
              <w:bottom w:val="single" w:sz="4" w:space="0" w:color="000000"/>
            </w:tcBorders>
          </w:tcPr>
          <w:p w14:paraId="1FEBEC40" w14:textId="77777777" w:rsidR="00396252" w:rsidRPr="00FD0082" w:rsidRDefault="00396252" w:rsidP="00396252">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38D30CF2" w14:textId="77777777" w:rsidR="00396252" w:rsidRPr="00FD0082" w:rsidRDefault="00396252" w:rsidP="00396252">
            <w:pPr>
              <w:jc w:val="center"/>
              <w:rPr>
                <w:sz w:val="22"/>
              </w:rPr>
            </w:pPr>
            <w:r w:rsidRPr="00FD0082">
              <w:rPr>
                <w:sz w:val="22"/>
              </w:rPr>
              <w:t>Signature</w:t>
            </w:r>
          </w:p>
        </w:tc>
      </w:tr>
      <w:tr w:rsidR="00396252" w:rsidRPr="00FD0082" w14:paraId="38E3A70E" w14:textId="77777777" w:rsidTr="00396252">
        <w:tblPrEx>
          <w:tblCellMar>
            <w:left w:w="70" w:type="dxa"/>
            <w:right w:w="70" w:type="dxa"/>
          </w:tblCellMar>
          <w:tblLook w:val="0000" w:firstRow="0" w:lastRow="0" w:firstColumn="0" w:lastColumn="0" w:noHBand="0" w:noVBand="0"/>
        </w:tblPrEx>
        <w:trPr>
          <w:gridBefore w:val="1"/>
        </w:trPr>
        <w:tc>
          <w:tcPr>
            <w:tcW w:w="3171" w:type="dxa"/>
            <w:gridSpan w:val="2"/>
            <w:tcBorders>
              <w:top w:val="single" w:sz="4" w:space="0" w:color="000000"/>
              <w:left w:val="single" w:sz="4" w:space="0" w:color="auto"/>
              <w:bottom w:val="single" w:sz="4" w:space="0" w:color="000000"/>
            </w:tcBorders>
          </w:tcPr>
          <w:p w14:paraId="28CFB807" w14:textId="77777777" w:rsidR="00396252" w:rsidRPr="00FD0082" w:rsidRDefault="00396252" w:rsidP="00396252">
            <w:pPr>
              <w:rPr>
                <w:sz w:val="22"/>
              </w:rPr>
            </w:pPr>
          </w:p>
          <w:p w14:paraId="43D39C37" w14:textId="77777777" w:rsidR="00396252" w:rsidRPr="00FD0082" w:rsidRDefault="00396252" w:rsidP="00396252">
            <w:pPr>
              <w:rPr>
                <w:sz w:val="22"/>
              </w:rPr>
            </w:pPr>
          </w:p>
        </w:tc>
        <w:tc>
          <w:tcPr>
            <w:tcW w:w="3174" w:type="dxa"/>
            <w:gridSpan w:val="2"/>
            <w:tcBorders>
              <w:top w:val="single" w:sz="4" w:space="0" w:color="000000"/>
              <w:left w:val="single" w:sz="4" w:space="0" w:color="000000"/>
              <w:bottom w:val="single" w:sz="4" w:space="0" w:color="000000"/>
            </w:tcBorders>
          </w:tcPr>
          <w:p w14:paraId="281CC23F" w14:textId="77777777" w:rsidR="00396252" w:rsidRPr="00FD0082" w:rsidRDefault="00396252" w:rsidP="00396252">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7254C3AD" w14:textId="77777777" w:rsidR="00396252" w:rsidRPr="00FD0082" w:rsidRDefault="00396252" w:rsidP="00396252">
            <w:pPr>
              <w:snapToGrid w:val="0"/>
              <w:jc w:val="center"/>
              <w:rPr>
                <w:sz w:val="22"/>
              </w:rPr>
            </w:pPr>
          </w:p>
        </w:tc>
      </w:tr>
    </w:tbl>
    <w:p w14:paraId="108C8A72" w14:textId="77777777" w:rsidR="00396252" w:rsidRPr="00DB758F" w:rsidRDefault="00396252" w:rsidP="00396252">
      <w:pPr>
        <w:tabs>
          <w:tab w:val="left" w:pos="-480"/>
        </w:tabs>
        <w:suppressAutoHyphens/>
        <w:jc w:val="both"/>
        <w:rPr>
          <w:sz w:val="24"/>
        </w:rPr>
      </w:pPr>
    </w:p>
    <w:p w14:paraId="7AA80064" w14:textId="77777777" w:rsidR="00396252" w:rsidRDefault="00396252" w:rsidP="00BA396D">
      <w:pPr>
        <w:tabs>
          <w:tab w:val="left" w:pos="510"/>
          <w:tab w:val="left" w:pos="851"/>
          <w:tab w:val="left" w:pos="10977"/>
        </w:tabs>
        <w:rPr>
          <w:b/>
          <w:sz w:val="24"/>
        </w:rPr>
        <w:sectPr w:rsidR="00396252" w:rsidSect="00BA396D">
          <w:headerReference w:type="default" r:id="rId30"/>
          <w:pgSz w:w="11906" w:h="16838"/>
          <w:pgMar w:top="1021" w:right="991" w:bottom="1021" w:left="1588" w:header="720" w:footer="720" w:gutter="0"/>
          <w:cols w:space="720"/>
          <w:titlePg/>
          <w:docGrid w:linePitch="272"/>
        </w:sectPr>
      </w:pPr>
    </w:p>
    <w:p w14:paraId="1A23F963" w14:textId="77777777" w:rsidR="00374BFA" w:rsidRPr="00BF734E" w:rsidRDefault="009C5264" w:rsidP="00374BFA">
      <w:pPr>
        <w:pBdr>
          <w:top w:val="single" w:sz="4" w:space="1" w:color="auto"/>
          <w:left w:val="single" w:sz="4" w:space="4" w:color="auto"/>
          <w:bottom w:val="single" w:sz="4" w:space="1" w:color="auto"/>
          <w:right w:val="single" w:sz="4" w:space="4" w:color="auto"/>
        </w:pBdr>
        <w:jc w:val="center"/>
        <w:rPr>
          <w:b/>
          <w:caps/>
          <w:sz w:val="32"/>
        </w:rPr>
      </w:pPr>
      <w:r>
        <w:rPr>
          <w:b/>
          <w:caps/>
          <w:sz w:val="32"/>
        </w:rPr>
        <w:lastRenderedPageBreak/>
        <w:t>MARCHE SUBSEQUENT</w:t>
      </w:r>
    </w:p>
    <w:p w14:paraId="71230495" w14:textId="77777777" w:rsidR="00374BFA" w:rsidRDefault="00374BFA" w:rsidP="00374BFA">
      <w:pPr>
        <w:pBdr>
          <w:top w:val="single" w:sz="4" w:space="1" w:color="auto"/>
          <w:left w:val="single" w:sz="4" w:space="4" w:color="auto"/>
          <w:bottom w:val="single" w:sz="4" w:space="1" w:color="auto"/>
          <w:right w:val="single" w:sz="4" w:space="4" w:color="auto"/>
        </w:pBdr>
        <w:jc w:val="center"/>
        <w:rPr>
          <w:b/>
          <w:sz w:val="28"/>
        </w:rPr>
      </w:pPr>
      <w:r w:rsidRPr="00B42F7B">
        <w:rPr>
          <w:b/>
          <w:sz w:val="28"/>
        </w:rPr>
        <w:t>N°: 2</w:t>
      </w:r>
      <w:r w:rsidR="00490ADB" w:rsidRPr="00BA396D">
        <w:rPr>
          <w:b/>
          <w:sz w:val="28"/>
          <w:highlight w:val="green"/>
        </w:rPr>
        <w:t>X</w:t>
      </w:r>
      <w:r w:rsidR="00F87763">
        <w:rPr>
          <w:b/>
          <w:sz w:val="28"/>
        </w:rPr>
        <w:t>-</w:t>
      </w:r>
      <w:r w:rsidRPr="003D08FC">
        <w:rPr>
          <w:b/>
          <w:sz w:val="28"/>
        </w:rPr>
        <w:t>M</w:t>
      </w:r>
      <w:r w:rsidR="005430E0">
        <w:rPr>
          <w:b/>
          <w:sz w:val="28"/>
        </w:rPr>
        <w:t>S</w:t>
      </w:r>
      <w:r w:rsidRPr="00B42F7B">
        <w:rPr>
          <w:b/>
          <w:sz w:val="28"/>
          <w:highlight w:val="green"/>
        </w:rPr>
        <w:t>X</w:t>
      </w:r>
      <w:r w:rsidR="00C548DE">
        <w:rPr>
          <w:b/>
          <w:sz w:val="28"/>
          <w:highlight w:val="green"/>
        </w:rPr>
        <w:t>XX</w:t>
      </w:r>
      <w:r w:rsidRPr="00B42F7B">
        <w:rPr>
          <w:b/>
          <w:sz w:val="28"/>
          <w:highlight w:val="green"/>
        </w:rPr>
        <w:t>X</w:t>
      </w:r>
    </w:p>
    <w:p w14:paraId="6773BC1E" w14:textId="133489D1" w:rsidR="007E3392" w:rsidRPr="007E3392" w:rsidRDefault="00374BFA" w:rsidP="005430E0">
      <w:pPr>
        <w:pBdr>
          <w:top w:val="single" w:sz="4" w:space="1" w:color="auto"/>
          <w:left w:val="single" w:sz="4" w:space="4" w:color="auto"/>
          <w:bottom w:val="single" w:sz="4" w:space="1" w:color="auto"/>
          <w:right w:val="single" w:sz="4" w:space="4" w:color="auto"/>
        </w:pBdr>
        <w:rPr>
          <w:b/>
          <w:caps/>
          <w:sz w:val="22"/>
        </w:rPr>
      </w:pPr>
      <w:r w:rsidRPr="007E3392">
        <w:rPr>
          <w:b/>
          <w:caps/>
          <w:sz w:val="22"/>
        </w:rPr>
        <w:t>conclu au titre du contrat-cadre n°</w:t>
      </w:r>
      <w:r w:rsidR="00F76903">
        <w:rPr>
          <w:b/>
          <w:bCs/>
          <w:caps/>
          <w:sz w:val="22"/>
          <w:szCs w:val="26"/>
        </w:rPr>
        <w:t>xxxxx</w:t>
      </w:r>
      <w:r w:rsidR="00CA6785">
        <w:rPr>
          <w:b/>
          <w:caps/>
          <w:sz w:val="22"/>
        </w:rPr>
        <w:br/>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74BFA" w:rsidRPr="007E3392" w14:paraId="74392C6E" w14:textId="77777777" w:rsidTr="00EA6111">
        <w:trPr>
          <w:trHeight w:val="702"/>
        </w:trPr>
        <w:tc>
          <w:tcPr>
            <w:tcW w:w="4644" w:type="dxa"/>
            <w:shd w:val="clear" w:color="auto" w:fill="D9D9D9" w:themeFill="background1" w:themeFillShade="D9"/>
            <w:vAlign w:val="center"/>
          </w:tcPr>
          <w:p w14:paraId="5E04ABA1" w14:textId="77777777" w:rsidR="00374BFA" w:rsidRPr="007E3392" w:rsidRDefault="00374BFA" w:rsidP="00EA6111">
            <w:pPr>
              <w:spacing w:before="120" w:after="120"/>
              <w:rPr>
                <w:b/>
                <w:smallCaps/>
                <w:sz w:val="24"/>
              </w:rPr>
            </w:pPr>
            <w:r w:rsidRPr="007E3392">
              <w:rPr>
                <w:b/>
                <w:smallCaps/>
                <w:sz w:val="24"/>
              </w:rPr>
              <w:t>Date de notification:</w:t>
            </w:r>
            <w:r w:rsidRPr="007E3392">
              <w:rPr>
                <w:b/>
                <w:smallCaps/>
                <w:sz w:val="24"/>
              </w:rPr>
              <w:tab/>
            </w:r>
            <w:r w:rsidRPr="007E3392">
              <w:rPr>
                <w:b/>
                <w:smallCaps/>
                <w:sz w:val="24"/>
              </w:rPr>
              <w:tab/>
            </w:r>
          </w:p>
        </w:tc>
      </w:tr>
    </w:tbl>
    <w:p w14:paraId="506A7C35" w14:textId="77777777" w:rsidR="00374BFA" w:rsidRDefault="00374BFA" w:rsidP="0093261A">
      <w:pPr>
        <w:spacing w:after="0" w:afterAutospacing="0"/>
        <w:rPr>
          <w:sz w:val="24"/>
        </w:rPr>
      </w:pPr>
      <w:r w:rsidRPr="005A6E25">
        <w:rPr>
          <w:b/>
          <w:smallCaps/>
          <w:sz w:val="24"/>
        </w:rPr>
        <w:t xml:space="preserve">EXPERTISE </w:t>
      </w:r>
      <w:r w:rsidRPr="00CF59B5">
        <w:rPr>
          <w:b/>
          <w:smallCaps/>
          <w:sz w:val="24"/>
        </w:rPr>
        <w:t>FRANCE</w:t>
      </w:r>
      <w:r w:rsidRPr="00CF59B5">
        <w:rPr>
          <w:b/>
          <w:sz w:val="24"/>
        </w:rPr>
        <w:t xml:space="preserve"> </w:t>
      </w:r>
      <w:r w:rsidR="00CF59B5" w:rsidRPr="00CF59B5">
        <w:rPr>
          <w:b/>
          <w:sz w:val="24"/>
        </w:rPr>
        <w:t>(SAS)</w:t>
      </w:r>
    </w:p>
    <w:p w14:paraId="202BEE06" w14:textId="77777777" w:rsidR="00E803B7" w:rsidRPr="000B56AA" w:rsidRDefault="00E803B7" w:rsidP="00E803B7">
      <w:pPr>
        <w:spacing w:before="0" w:beforeAutospacing="0" w:after="0" w:afterAutospacing="0"/>
        <w:jc w:val="both"/>
        <w:rPr>
          <w:sz w:val="24"/>
        </w:rPr>
      </w:pPr>
      <w:r w:rsidRPr="000B56AA">
        <w:rPr>
          <w:sz w:val="24"/>
        </w:rPr>
        <w:t xml:space="preserve">Adresse: </w:t>
      </w:r>
      <w:r>
        <w:rPr>
          <w:sz w:val="24"/>
        </w:rPr>
        <w:t>40, boulevard de Port</w:t>
      </w:r>
      <w:r w:rsidR="00053430">
        <w:rPr>
          <w:sz w:val="24"/>
        </w:rPr>
        <w:t>-</w:t>
      </w:r>
      <w:r>
        <w:rPr>
          <w:sz w:val="24"/>
        </w:rPr>
        <w:t xml:space="preserve">Royal, </w:t>
      </w:r>
      <w:r w:rsidRPr="000B56AA">
        <w:rPr>
          <w:sz w:val="24"/>
        </w:rPr>
        <w:t>750</w:t>
      </w:r>
      <w:r>
        <w:rPr>
          <w:sz w:val="24"/>
        </w:rPr>
        <w:t>05</w:t>
      </w:r>
      <w:r w:rsidRPr="000B56AA">
        <w:rPr>
          <w:sz w:val="24"/>
        </w:rPr>
        <w:t xml:space="preserve"> – PARIS</w:t>
      </w:r>
    </w:p>
    <w:p w14:paraId="50571DD1" w14:textId="77777777" w:rsidR="00F05AC6" w:rsidRPr="005579DD" w:rsidRDefault="00F05AC6" w:rsidP="00F05AC6">
      <w:pPr>
        <w:spacing w:before="0" w:beforeAutospacing="0" w:after="0" w:afterAutospacing="0"/>
        <w:rPr>
          <w:sz w:val="24"/>
        </w:rPr>
      </w:pPr>
      <w:r w:rsidRPr="00F05AC6">
        <w:rPr>
          <w:sz w:val="24"/>
        </w:rPr>
        <w:t>Société par actions simplifiée au capital de 828 933 € immatriculée sous les numéros suivants :</w:t>
      </w:r>
    </w:p>
    <w:p w14:paraId="391FB943" w14:textId="77777777" w:rsidR="00374BFA" w:rsidRPr="00E803B7" w:rsidRDefault="000B443A" w:rsidP="00B900C6">
      <w:pPr>
        <w:pStyle w:val="Paragraphedeliste"/>
        <w:numPr>
          <w:ilvl w:val="0"/>
          <w:numId w:val="14"/>
        </w:numPr>
        <w:spacing w:before="0" w:beforeAutospacing="0" w:after="0" w:afterAutospacing="0"/>
        <w:jc w:val="both"/>
        <w:rPr>
          <w:sz w:val="24"/>
        </w:rPr>
      </w:pPr>
      <w:r>
        <w:rPr>
          <w:sz w:val="24"/>
        </w:rPr>
        <w:t>Siret : RCS 808 734 792 00035</w:t>
      </w:r>
    </w:p>
    <w:p w14:paraId="11130D1E" w14:textId="77777777" w:rsidR="00374BFA" w:rsidRPr="00E803B7" w:rsidRDefault="00374BFA" w:rsidP="00B900C6">
      <w:pPr>
        <w:pStyle w:val="Paragraphedeliste"/>
        <w:numPr>
          <w:ilvl w:val="0"/>
          <w:numId w:val="14"/>
        </w:numPr>
        <w:spacing w:before="0" w:beforeAutospacing="0" w:after="0" w:afterAutospacing="0"/>
        <w:jc w:val="both"/>
        <w:rPr>
          <w:sz w:val="24"/>
        </w:rPr>
      </w:pPr>
      <w:r w:rsidRPr="00E803B7">
        <w:rPr>
          <w:sz w:val="24"/>
        </w:rPr>
        <w:t>TVA intracommunautaire: FR36 808734792</w:t>
      </w:r>
    </w:p>
    <w:p w14:paraId="22EB0035" w14:textId="77777777" w:rsidR="00374BFA" w:rsidRPr="007E3392" w:rsidRDefault="00374BFA" w:rsidP="00374BFA">
      <w:pPr>
        <w:spacing w:before="0" w:beforeAutospacing="0" w:after="0" w:afterAutospacing="0"/>
        <w:jc w:val="both"/>
        <w:rPr>
          <w:sz w:val="24"/>
        </w:rPr>
      </w:pPr>
    </w:p>
    <w:p w14:paraId="2C73AF99" w14:textId="77777777" w:rsidR="00374BFA" w:rsidRDefault="00374BFA" w:rsidP="00374BFA">
      <w:pPr>
        <w:spacing w:before="0" w:beforeAutospacing="0" w:after="0" w:afterAutospacing="0"/>
        <w:jc w:val="both"/>
        <w:rPr>
          <w:sz w:val="24"/>
        </w:rPr>
      </w:pPr>
      <w:r>
        <w:rPr>
          <w:sz w:val="24"/>
        </w:rPr>
        <w:t>r</w:t>
      </w:r>
      <w:r w:rsidRPr="006226CE">
        <w:rPr>
          <w:sz w:val="24"/>
        </w:rPr>
        <w:t>eprésentée en vue de la signature du présent contrat-</w:t>
      </w:r>
      <w:r>
        <w:rPr>
          <w:sz w:val="24"/>
        </w:rPr>
        <w:t xml:space="preserve">cadre, par </w:t>
      </w:r>
      <w:r w:rsidR="00FC201D">
        <w:rPr>
          <w:sz w:val="24"/>
        </w:rPr>
        <w:t>M. Jérémie PELLET</w:t>
      </w:r>
      <w:r>
        <w:rPr>
          <w:sz w:val="24"/>
        </w:rPr>
        <w:t>, Directeur général.</w:t>
      </w:r>
    </w:p>
    <w:p w14:paraId="6D2438DA" w14:textId="77777777" w:rsidR="00374BFA" w:rsidRPr="00E803B7" w:rsidRDefault="00374BFA" w:rsidP="00374BFA">
      <w:pPr>
        <w:jc w:val="both"/>
        <w:rPr>
          <w:b/>
          <w:sz w:val="24"/>
        </w:rPr>
      </w:pPr>
      <w:r w:rsidRPr="00E803B7">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031F34" w:rsidRPr="00C071BA" w14:paraId="3004C49D" w14:textId="77777777" w:rsidTr="00EA6111">
        <w:tc>
          <w:tcPr>
            <w:tcW w:w="3290" w:type="dxa"/>
          </w:tcPr>
          <w:p w14:paraId="21A5ECD9" w14:textId="77777777" w:rsidR="00031F34" w:rsidRPr="00C071BA" w:rsidRDefault="00031F34" w:rsidP="00031F34">
            <w:pPr>
              <w:rPr>
                <w:b/>
                <w:sz w:val="24"/>
              </w:rPr>
            </w:pPr>
            <w:r w:rsidRPr="00C071BA">
              <w:rPr>
                <w:b/>
                <w:sz w:val="24"/>
                <w:highlight w:val="yellow"/>
              </w:rPr>
              <w:t>Dénomination officielle complète</w:t>
            </w:r>
          </w:p>
        </w:tc>
        <w:tc>
          <w:tcPr>
            <w:tcW w:w="6066" w:type="dxa"/>
          </w:tcPr>
          <w:p w14:paraId="757BF8CD" w14:textId="77777777" w:rsidR="00031F34" w:rsidRPr="00C071BA" w:rsidRDefault="00031F34" w:rsidP="00EA6111">
            <w:pPr>
              <w:jc w:val="both"/>
              <w:rPr>
                <w:sz w:val="24"/>
              </w:rPr>
            </w:pPr>
          </w:p>
        </w:tc>
      </w:tr>
      <w:tr w:rsidR="00031F34" w:rsidRPr="00361126" w14:paraId="4F7C450D" w14:textId="77777777" w:rsidTr="00EA6111">
        <w:tc>
          <w:tcPr>
            <w:tcW w:w="9356" w:type="dxa"/>
            <w:gridSpan w:val="2"/>
          </w:tcPr>
          <w:p w14:paraId="41F7837E" w14:textId="77777777" w:rsidR="00031F34" w:rsidRPr="00C071BA" w:rsidRDefault="00031F34" w:rsidP="00EA6111">
            <w:pPr>
              <w:rPr>
                <w:sz w:val="24"/>
              </w:rPr>
            </w:pPr>
            <w:r w:rsidRPr="00C071BA">
              <w:rPr>
                <w:sz w:val="24"/>
              </w:rPr>
              <w:t>(ci-après dénommé(e) «le contractant»),</w:t>
            </w:r>
          </w:p>
        </w:tc>
      </w:tr>
      <w:tr w:rsidR="00031F34" w:rsidRPr="00C071BA" w14:paraId="2297CBF8" w14:textId="77777777" w:rsidTr="00EA6111">
        <w:tc>
          <w:tcPr>
            <w:tcW w:w="3290" w:type="dxa"/>
          </w:tcPr>
          <w:p w14:paraId="6D71DA1D" w14:textId="77777777" w:rsidR="00031F34" w:rsidRPr="00C071BA" w:rsidRDefault="00031F34" w:rsidP="00EA6111">
            <w:pPr>
              <w:rPr>
                <w:b/>
                <w:sz w:val="24"/>
                <w:highlight w:val="yellow"/>
              </w:rPr>
            </w:pPr>
            <w:r w:rsidRPr="00C071BA">
              <w:rPr>
                <w:b/>
                <w:sz w:val="24"/>
                <w:highlight w:val="yellow"/>
              </w:rPr>
              <w:t>Forme juridique offici</w:t>
            </w:r>
            <w:r w:rsidR="00322073">
              <w:rPr>
                <w:b/>
                <w:sz w:val="24"/>
                <w:highlight w:val="yellow"/>
              </w:rPr>
              <w:t>el</w:t>
            </w:r>
            <w:r w:rsidRPr="00C071BA">
              <w:rPr>
                <w:b/>
                <w:sz w:val="24"/>
                <w:highlight w:val="yellow"/>
              </w:rPr>
              <w:t>l</w:t>
            </w:r>
            <w:r w:rsidR="00322073">
              <w:rPr>
                <w:b/>
                <w:sz w:val="24"/>
                <w:highlight w:val="yellow"/>
              </w:rPr>
              <w:t>e</w:t>
            </w:r>
          </w:p>
        </w:tc>
        <w:tc>
          <w:tcPr>
            <w:tcW w:w="6066" w:type="dxa"/>
          </w:tcPr>
          <w:p w14:paraId="43C974EF" w14:textId="77777777" w:rsidR="00031F34" w:rsidRPr="00C071BA" w:rsidRDefault="00031F34" w:rsidP="00EA6111">
            <w:pPr>
              <w:jc w:val="both"/>
              <w:rPr>
                <w:sz w:val="24"/>
                <w:highlight w:val="green"/>
              </w:rPr>
            </w:pPr>
          </w:p>
        </w:tc>
      </w:tr>
      <w:tr w:rsidR="00031F34" w:rsidRPr="00C071BA" w14:paraId="73FBCD9E" w14:textId="77777777" w:rsidTr="00EA6111">
        <w:trPr>
          <w:trHeight w:val="659"/>
        </w:trPr>
        <w:tc>
          <w:tcPr>
            <w:tcW w:w="3290" w:type="dxa"/>
          </w:tcPr>
          <w:p w14:paraId="3478A616" w14:textId="77777777" w:rsidR="00031F34" w:rsidRPr="00C071BA" w:rsidRDefault="00031F34" w:rsidP="00EA6111">
            <w:pPr>
              <w:rPr>
                <w:b/>
                <w:sz w:val="24"/>
                <w:highlight w:val="yellow"/>
              </w:rPr>
            </w:pPr>
            <w:r w:rsidRPr="00C071BA">
              <w:rPr>
                <w:b/>
                <w:sz w:val="24"/>
                <w:highlight w:val="yellow"/>
              </w:rPr>
              <w:t xml:space="preserve">Adresse officielle complète </w:t>
            </w:r>
          </w:p>
        </w:tc>
        <w:tc>
          <w:tcPr>
            <w:tcW w:w="6066" w:type="dxa"/>
          </w:tcPr>
          <w:p w14:paraId="13886E4A" w14:textId="77777777" w:rsidR="00031F34" w:rsidRPr="00C071BA" w:rsidRDefault="00031F34" w:rsidP="00EA6111">
            <w:pPr>
              <w:jc w:val="both"/>
              <w:rPr>
                <w:sz w:val="24"/>
                <w:highlight w:val="green"/>
              </w:rPr>
            </w:pPr>
          </w:p>
        </w:tc>
      </w:tr>
      <w:tr w:rsidR="00031F34" w:rsidRPr="00361126" w14:paraId="6BFA3128" w14:textId="77777777" w:rsidTr="00EA6111">
        <w:tc>
          <w:tcPr>
            <w:tcW w:w="3290" w:type="dxa"/>
          </w:tcPr>
          <w:p w14:paraId="1E0C2435" w14:textId="77777777" w:rsidR="00031F34" w:rsidRPr="00740822" w:rsidRDefault="00031F34" w:rsidP="00EA6111">
            <w:pPr>
              <w:rPr>
                <w:b/>
                <w:sz w:val="24"/>
                <w:highlight w:val="yellow"/>
              </w:rPr>
            </w:pPr>
            <w:r w:rsidRPr="00860F96">
              <w:rPr>
                <w:b/>
                <w:sz w:val="24"/>
                <w:highlight w:val="yellow"/>
              </w:rPr>
              <w:t>Numéro d’enregistrement legal</w:t>
            </w:r>
            <w:r w:rsidR="00322073" w:rsidRPr="00740822">
              <w:rPr>
                <w:b/>
                <w:sz w:val="24"/>
                <w:highlight w:val="yellow"/>
              </w:rPr>
              <w:t xml:space="preserve"> numéro d’immatriculation</w:t>
            </w:r>
          </w:p>
        </w:tc>
        <w:tc>
          <w:tcPr>
            <w:tcW w:w="6066" w:type="dxa"/>
          </w:tcPr>
          <w:p w14:paraId="52D5B7D4" w14:textId="77777777" w:rsidR="00031F34" w:rsidRPr="00740822" w:rsidRDefault="00031F34" w:rsidP="00EA6111">
            <w:pPr>
              <w:jc w:val="both"/>
              <w:rPr>
                <w:sz w:val="24"/>
                <w:highlight w:val="green"/>
              </w:rPr>
            </w:pPr>
          </w:p>
        </w:tc>
      </w:tr>
      <w:tr w:rsidR="00031F34" w:rsidRPr="00361126" w14:paraId="6B7C23E2" w14:textId="77777777" w:rsidTr="00EA6111">
        <w:tc>
          <w:tcPr>
            <w:tcW w:w="3290" w:type="dxa"/>
          </w:tcPr>
          <w:p w14:paraId="783CB002" w14:textId="77777777" w:rsidR="00031F34" w:rsidRPr="00C071BA" w:rsidRDefault="00031F34" w:rsidP="00EA6111">
            <w:pPr>
              <w:rPr>
                <w:b/>
                <w:sz w:val="24"/>
                <w:highlight w:val="yellow"/>
              </w:rPr>
            </w:pPr>
            <w:r w:rsidRPr="00C071BA">
              <w:rPr>
                <w:b/>
                <w:sz w:val="24"/>
                <w:highlight w:val="yellow"/>
              </w:rPr>
              <w:t>Numéro du register de la TVA</w:t>
            </w:r>
          </w:p>
        </w:tc>
        <w:tc>
          <w:tcPr>
            <w:tcW w:w="6066" w:type="dxa"/>
          </w:tcPr>
          <w:p w14:paraId="4B392CE5" w14:textId="77777777" w:rsidR="00031F34" w:rsidRPr="00C071BA" w:rsidRDefault="00031F34" w:rsidP="00EA6111">
            <w:pPr>
              <w:jc w:val="both"/>
              <w:rPr>
                <w:sz w:val="24"/>
                <w:highlight w:val="green"/>
              </w:rPr>
            </w:pPr>
          </w:p>
        </w:tc>
      </w:tr>
    </w:tbl>
    <w:p w14:paraId="14797503" w14:textId="77777777" w:rsidR="00031F34" w:rsidRPr="00C071BA" w:rsidRDefault="00031F34" w:rsidP="00031F34">
      <w:pPr>
        <w:jc w:val="both"/>
        <w:rPr>
          <w:sz w:val="24"/>
        </w:rPr>
      </w:pPr>
      <w:r w:rsidRPr="00C071BA">
        <w:rPr>
          <w:sz w:val="24"/>
        </w:rPr>
        <w:t xml:space="preserve">représenté(e) en vue de la signature du présent </w:t>
      </w:r>
      <w:r w:rsidR="00885E85">
        <w:rPr>
          <w:sz w:val="24"/>
        </w:rPr>
        <w:t>marché subséquent</w:t>
      </w:r>
      <w:r w:rsidRPr="00C071BA">
        <w:rPr>
          <w:sz w:val="24"/>
        </w:rPr>
        <w:t xml:space="preserv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9"/>
        <w:gridCol w:w="6917"/>
      </w:tblGrid>
      <w:tr w:rsidR="00031F34" w:rsidRPr="00361126" w14:paraId="6F2B163D" w14:textId="77777777" w:rsidTr="00EA6111">
        <w:tc>
          <w:tcPr>
            <w:tcW w:w="9356" w:type="dxa"/>
            <w:gridSpan w:val="3"/>
          </w:tcPr>
          <w:p w14:paraId="128ABAC0" w14:textId="77777777" w:rsidR="00031F34" w:rsidRPr="00C071BA" w:rsidRDefault="00031F34" w:rsidP="00EA6111">
            <w:pPr>
              <w:jc w:val="both"/>
              <w:rPr>
                <w:sz w:val="24"/>
              </w:rPr>
            </w:pPr>
            <w:r w:rsidRPr="00C071BA">
              <w:rPr>
                <w:sz w:val="24"/>
              </w:rPr>
              <w:t>Personne autorisée à signer le contrat au nom du contractant</w:t>
            </w:r>
          </w:p>
        </w:tc>
      </w:tr>
      <w:tr w:rsidR="00031F34" w:rsidRPr="00C071BA" w14:paraId="006CB16A" w14:textId="77777777" w:rsidTr="00EA6111">
        <w:tc>
          <w:tcPr>
            <w:tcW w:w="2410" w:type="dxa"/>
          </w:tcPr>
          <w:p w14:paraId="63010EBB" w14:textId="77777777" w:rsidR="00031F34" w:rsidRPr="00C071BA" w:rsidRDefault="00031F34" w:rsidP="00EA6111">
            <w:pPr>
              <w:jc w:val="both"/>
              <w:rPr>
                <w:b/>
                <w:sz w:val="24"/>
                <w:highlight w:val="yellow"/>
              </w:rPr>
            </w:pPr>
            <w:r w:rsidRPr="00C071BA">
              <w:rPr>
                <w:b/>
                <w:sz w:val="24"/>
                <w:highlight w:val="yellow"/>
              </w:rPr>
              <w:t>Nom</w:t>
            </w:r>
            <w:r w:rsidRPr="00C071BA">
              <w:rPr>
                <w:highlight w:val="yellow"/>
                <w:vertAlign w:val="superscript"/>
              </w:rPr>
              <w:footnoteReference w:id="12"/>
            </w:r>
          </w:p>
        </w:tc>
        <w:tc>
          <w:tcPr>
            <w:tcW w:w="6946" w:type="dxa"/>
            <w:gridSpan w:val="2"/>
          </w:tcPr>
          <w:p w14:paraId="3A9EFD6A" w14:textId="77777777" w:rsidR="00031F34" w:rsidRPr="00C071BA" w:rsidRDefault="00031F34" w:rsidP="00EA6111">
            <w:pPr>
              <w:rPr>
                <w:sz w:val="24"/>
              </w:rPr>
            </w:pPr>
            <w:r w:rsidRPr="00C071BA">
              <w:rPr>
                <w:sz w:val="24"/>
              </w:rPr>
              <w:t>Nom (en capital): ...........................................................................</w:t>
            </w:r>
            <w:r w:rsidRPr="00C071BA">
              <w:rPr>
                <w:sz w:val="24"/>
              </w:rPr>
              <w:br/>
              <w:t>Prénom : ........................................................................................</w:t>
            </w:r>
          </w:p>
        </w:tc>
      </w:tr>
      <w:tr w:rsidR="00031F34" w:rsidRPr="00C071BA" w14:paraId="40D37A73" w14:textId="77777777" w:rsidTr="00EA6111">
        <w:tc>
          <w:tcPr>
            <w:tcW w:w="2410" w:type="dxa"/>
          </w:tcPr>
          <w:p w14:paraId="64DEE42E" w14:textId="77777777" w:rsidR="00031F34" w:rsidRPr="00C071BA" w:rsidRDefault="00031F34" w:rsidP="00EA6111">
            <w:pPr>
              <w:jc w:val="both"/>
              <w:rPr>
                <w:b/>
                <w:sz w:val="24"/>
                <w:highlight w:val="yellow"/>
              </w:rPr>
            </w:pPr>
            <w:r w:rsidRPr="00C071BA">
              <w:rPr>
                <w:b/>
                <w:sz w:val="24"/>
                <w:highlight w:val="yellow"/>
              </w:rPr>
              <w:t>Fonction</w:t>
            </w:r>
          </w:p>
        </w:tc>
        <w:tc>
          <w:tcPr>
            <w:tcW w:w="6946" w:type="dxa"/>
            <w:gridSpan w:val="2"/>
          </w:tcPr>
          <w:p w14:paraId="55E4AD26" w14:textId="77777777" w:rsidR="00031F34" w:rsidRPr="00C071BA" w:rsidRDefault="00031F34" w:rsidP="00EA6111">
            <w:pPr>
              <w:jc w:val="both"/>
              <w:rPr>
                <w:sz w:val="24"/>
              </w:rPr>
            </w:pPr>
          </w:p>
        </w:tc>
      </w:tr>
      <w:tr w:rsidR="00E31DB9" w:rsidRPr="00C071BA" w14:paraId="7741C19B" w14:textId="77777777" w:rsidTr="00EA6111">
        <w:tc>
          <w:tcPr>
            <w:tcW w:w="9356" w:type="dxa"/>
            <w:gridSpan w:val="3"/>
          </w:tcPr>
          <w:p w14:paraId="0C0D59FC" w14:textId="77777777" w:rsidR="00E31DB9" w:rsidRPr="00C071BA" w:rsidRDefault="00E31DB9">
            <w:pPr>
              <w:jc w:val="both"/>
              <w:rPr>
                <w:sz w:val="24"/>
              </w:rPr>
            </w:pPr>
            <w:r w:rsidRPr="00C071BA">
              <w:rPr>
                <w:b/>
                <w:sz w:val="24"/>
              </w:rPr>
              <w:t>Composition du groupement</w:t>
            </w:r>
          </w:p>
        </w:tc>
      </w:tr>
      <w:tr w:rsidR="00E31DB9" w:rsidRPr="00C071BA" w14:paraId="38603B67" w14:textId="77777777" w:rsidTr="00EA6111">
        <w:tc>
          <w:tcPr>
            <w:tcW w:w="2439" w:type="dxa"/>
            <w:gridSpan w:val="2"/>
            <w:tcBorders>
              <w:top w:val="single" w:sz="4" w:space="0" w:color="auto"/>
              <w:left w:val="single" w:sz="4" w:space="0" w:color="auto"/>
              <w:bottom w:val="single" w:sz="4" w:space="0" w:color="auto"/>
              <w:right w:val="single" w:sz="4" w:space="0" w:color="auto"/>
            </w:tcBorders>
          </w:tcPr>
          <w:p w14:paraId="30AD45D4" w14:textId="77777777" w:rsidR="00E31DB9" w:rsidRPr="00C071BA" w:rsidRDefault="00E31DB9">
            <w:pPr>
              <w:rPr>
                <w:b/>
                <w:sz w:val="24"/>
                <w:highlight w:val="yellow"/>
              </w:rPr>
            </w:pPr>
            <w:r w:rsidRPr="00C071BA">
              <w:rPr>
                <w:b/>
                <w:sz w:val="24"/>
                <w:highlight w:val="yellow"/>
              </w:rPr>
              <w:lastRenderedPageBreak/>
              <w:t>Dénomination officielle complète</w:t>
            </w:r>
          </w:p>
        </w:tc>
        <w:tc>
          <w:tcPr>
            <w:tcW w:w="6917" w:type="dxa"/>
            <w:tcBorders>
              <w:top w:val="single" w:sz="4" w:space="0" w:color="auto"/>
              <w:left w:val="single" w:sz="4" w:space="0" w:color="auto"/>
              <w:bottom w:val="single" w:sz="4" w:space="0" w:color="auto"/>
              <w:right w:val="single" w:sz="4" w:space="0" w:color="auto"/>
            </w:tcBorders>
          </w:tcPr>
          <w:p w14:paraId="025CACDD" w14:textId="77777777" w:rsidR="00E31DB9" w:rsidRPr="00C071BA" w:rsidRDefault="00E31DB9" w:rsidP="00EA6111">
            <w:pPr>
              <w:rPr>
                <w:sz w:val="24"/>
              </w:rPr>
            </w:pPr>
          </w:p>
        </w:tc>
      </w:tr>
      <w:tr w:rsidR="00E31DB9" w:rsidRPr="00C071BA" w14:paraId="43F1CF07" w14:textId="77777777" w:rsidTr="00EA6111">
        <w:tc>
          <w:tcPr>
            <w:tcW w:w="2439" w:type="dxa"/>
            <w:gridSpan w:val="2"/>
          </w:tcPr>
          <w:p w14:paraId="5ED3C333" w14:textId="77777777" w:rsidR="00E31DB9" w:rsidRPr="00C071BA" w:rsidRDefault="00E31DB9" w:rsidP="00EA6111">
            <w:pPr>
              <w:rPr>
                <w:b/>
                <w:sz w:val="24"/>
                <w:highlight w:val="yellow"/>
              </w:rPr>
            </w:pPr>
            <w:r w:rsidRPr="00C071BA">
              <w:rPr>
                <w:b/>
                <w:sz w:val="24"/>
                <w:highlight w:val="yellow"/>
              </w:rPr>
              <w:t>Forme juridique official</w:t>
            </w:r>
          </w:p>
        </w:tc>
        <w:tc>
          <w:tcPr>
            <w:tcW w:w="6917" w:type="dxa"/>
          </w:tcPr>
          <w:p w14:paraId="7CF451C4" w14:textId="77777777" w:rsidR="00E31DB9" w:rsidRPr="00C071BA" w:rsidRDefault="00E31DB9" w:rsidP="00EA6111">
            <w:pPr>
              <w:rPr>
                <w:sz w:val="24"/>
                <w:highlight w:val="green"/>
              </w:rPr>
            </w:pPr>
          </w:p>
        </w:tc>
      </w:tr>
      <w:tr w:rsidR="00E31DB9" w:rsidRPr="00C071BA" w14:paraId="3B4B4483" w14:textId="77777777" w:rsidTr="00EA6111">
        <w:trPr>
          <w:trHeight w:val="659"/>
        </w:trPr>
        <w:tc>
          <w:tcPr>
            <w:tcW w:w="2439" w:type="dxa"/>
            <w:gridSpan w:val="2"/>
          </w:tcPr>
          <w:p w14:paraId="2EA01F14" w14:textId="77777777" w:rsidR="00E31DB9" w:rsidRPr="00C071BA" w:rsidRDefault="00E31DB9" w:rsidP="00EA6111">
            <w:pPr>
              <w:rPr>
                <w:b/>
                <w:sz w:val="24"/>
                <w:highlight w:val="yellow"/>
              </w:rPr>
            </w:pPr>
            <w:r w:rsidRPr="00C071BA">
              <w:rPr>
                <w:b/>
                <w:sz w:val="24"/>
                <w:highlight w:val="yellow"/>
              </w:rPr>
              <w:t xml:space="preserve">Adresse officielle complète </w:t>
            </w:r>
          </w:p>
        </w:tc>
        <w:tc>
          <w:tcPr>
            <w:tcW w:w="6917" w:type="dxa"/>
          </w:tcPr>
          <w:p w14:paraId="4FD50C72" w14:textId="77777777" w:rsidR="00E31DB9" w:rsidRPr="00C071BA" w:rsidRDefault="00E31DB9" w:rsidP="00EA6111">
            <w:pPr>
              <w:rPr>
                <w:sz w:val="24"/>
                <w:highlight w:val="green"/>
              </w:rPr>
            </w:pPr>
          </w:p>
        </w:tc>
      </w:tr>
      <w:tr w:rsidR="00E31DB9" w:rsidRPr="00C071BA" w14:paraId="3B2F499F" w14:textId="77777777" w:rsidTr="00EA6111">
        <w:tc>
          <w:tcPr>
            <w:tcW w:w="2439" w:type="dxa"/>
            <w:gridSpan w:val="2"/>
          </w:tcPr>
          <w:p w14:paraId="519019EC" w14:textId="77777777" w:rsidR="00E31DB9" w:rsidRPr="00C071BA" w:rsidRDefault="00E31DB9" w:rsidP="00EA6111">
            <w:pPr>
              <w:rPr>
                <w:b/>
                <w:sz w:val="24"/>
                <w:highlight w:val="yellow"/>
              </w:rPr>
            </w:pPr>
            <w:r w:rsidRPr="00C071BA">
              <w:rPr>
                <w:b/>
                <w:sz w:val="24"/>
                <w:highlight w:val="yellow"/>
              </w:rPr>
              <w:t>Numéro d’enregistrement legal</w:t>
            </w:r>
          </w:p>
        </w:tc>
        <w:tc>
          <w:tcPr>
            <w:tcW w:w="6917" w:type="dxa"/>
          </w:tcPr>
          <w:p w14:paraId="203F65C0" w14:textId="77777777" w:rsidR="00E31DB9" w:rsidRPr="00C071BA" w:rsidRDefault="00E31DB9" w:rsidP="00EA6111">
            <w:pPr>
              <w:rPr>
                <w:sz w:val="24"/>
                <w:highlight w:val="green"/>
              </w:rPr>
            </w:pPr>
          </w:p>
        </w:tc>
      </w:tr>
      <w:tr w:rsidR="00E31DB9" w:rsidRPr="00361126" w14:paraId="42CBA3B1" w14:textId="77777777" w:rsidTr="00EA6111">
        <w:tc>
          <w:tcPr>
            <w:tcW w:w="2439" w:type="dxa"/>
            <w:gridSpan w:val="2"/>
          </w:tcPr>
          <w:p w14:paraId="20282E8F" w14:textId="77777777" w:rsidR="00E31DB9" w:rsidRPr="00C071BA" w:rsidRDefault="00E31DB9" w:rsidP="00EA6111">
            <w:pPr>
              <w:rPr>
                <w:b/>
                <w:sz w:val="24"/>
                <w:highlight w:val="yellow"/>
              </w:rPr>
            </w:pPr>
            <w:r w:rsidRPr="00C071BA">
              <w:rPr>
                <w:b/>
                <w:sz w:val="24"/>
                <w:highlight w:val="yellow"/>
              </w:rPr>
              <w:t>Numéro du register de la TVA</w:t>
            </w:r>
          </w:p>
        </w:tc>
        <w:tc>
          <w:tcPr>
            <w:tcW w:w="6917" w:type="dxa"/>
          </w:tcPr>
          <w:p w14:paraId="408ED69A" w14:textId="77777777" w:rsidR="00E31DB9" w:rsidRPr="00C071BA" w:rsidRDefault="00E31DB9" w:rsidP="00EA6111">
            <w:pPr>
              <w:rPr>
                <w:sz w:val="24"/>
                <w:highlight w:val="green"/>
              </w:rPr>
            </w:pPr>
          </w:p>
        </w:tc>
      </w:tr>
      <w:tr w:rsidR="00E31DB9" w:rsidRPr="00C071BA" w14:paraId="047E90F3" w14:textId="77777777" w:rsidTr="00EA6111">
        <w:tc>
          <w:tcPr>
            <w:tcW w:w="2439" w:type="dxa"/>
            <w:gridSpan w:val="2"/>
            <w:tcBorders>
              <w:top w:val="single" w:sz="4" w:space="0" w:color="auto"/>
              <w:left w:val="single" w:sz="4" w:space="0" w:color="auto"/>
              <w:bottom w:val="single" w:sz="4" w:space="0" w:color="auto"/>
              <w:right w:val="single" w:sz="4" w:space="0" w:color="auto"/>
            </w:tcBorders>
          </w:tcPr>
          <w:p w14:paraId="19539DA9" w14:textId="77777777" w:rsidR="00E31DB9" w:rsidRPr="00C071BA" w:rsidRDefault="00E31DB9" w:rsidP="00EA6111">
            <w:pPr>
              <w:rPr>
                <w:b/>
                <w:sz w:val="24"/>
                <w:highlight w:val="yellow"/>
              </w:rPr>
            </w:pPr>
            <w:r w:rsidRPr="00C071BA">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37D42680" w14:textId="77777777" w:rsidR="00E31DB9" w:rsidRPr="00C071BA" w:rsidRDefault="00E31DB9" w:rsidP="00EA6111">
            <w:pPr>
              <w:spacing w:before="0" w:beforeAutospacing="0" w:after="0" w:afterAutospacing="0"/>
              <w:rPr>
                <w:sz w:val="24"/>
              </w:rPr>
            </w:pPr>
            <w:r w:rsidRPr="00C071BA">
              <w:rPr>
                <w:sz w:val="24"/>
              </w:rPr>
              <w:t>Personne à contacter : ..........................................................</w:t>
            </w:r>
          </w:p>
          <w:p w14:paraId="60D5C8A0" w14:textId="77777777" w:rsidR="00E31DB9" w:rsidRPr="00C071BA" w:rsidRDefault="00E31DB9" w:rsidP="00EA6111">
            <w:pPr>
              <w:spacing w:before="0" w:beforeAutospacing="0"/>
              <w:rPr>
                <w:sz w:val="24"/>
                <w:highlight w:val="green"/>
              </w:rPr>
            </w:pPr>
            <w:r w:rsidRPr="00C071BA">
              <w:rPr>
                <w:sz w:val="24"/>
              </w:rPr>
              <w:t>Téléphone (ligne directe) : ................................................................... Courriel : ..............................................................................................</w:t>
            </w:r>
          </w:p>
        </w:tc>
      </w:tr>
    </w:tbl>
    <w:p w14:paraId="068B6032" w14:textId="77777777" w:rsidR="00393A80" w:rsidRPr="00C071BA" w:rsidRDefault="00393A80" w:rsidP="00393A80">
      <w:pPr>
        <w:tabs>
          <w:tab w:val="left" w:pos="510"/>
          <w:tab w:val="left" w:pos="10977"/>
        </w:tabs>
        <w:jc w:val="both"/>
      </w:pPr>
      <w:r w:rsidRPr="00C071BA">
        <w:rPr>
          <w:sz w:val="24"/>
        </w:rPr>
        <w:t xml:space="preserve">[Les parties susnommées et ci-après désignées collectivement «le contractant» sont conjointement et solidairement responsables de l'exécution du présent </w:t>
      </w:r>
      <w:r w:rsidR="00885E85">
        <w:rPr>
          <w:sz w:val="24"/>
        </w:rPr>
        <w:t>marché subséquent</w:t>
      </w:r>
      <w:r w:rsidRPr="00C071BA">
        <w:rPr>
          <w:sz w:val="24"/>
        </w:rPr>
        <w:t xml:space="preserve"> à l'égard </w:t>
      </w:r>
      <w:r w:rsidR="00DD3512">
        <w:rPr>
          <w:sz w:val="24"/>
        </w:rPr>
        <w:t>d’Expertise France</w:t>
      </w:r>
      <w:r w:rsidRPr="00C071BA">
        <w:rPr>
          <w:sz w:val="24"/>
        </w:rPr>
        <w:t xml:space="preserve">.] </w:t>
      </w:r>
    </w:p>
    <w:p w14:paraId="2BF60E32" w14:textId="77777777" w:rsidR="00393A80" w:rsidRPr="00E803B7" w:rsidRDefault="00E803B7" w:rsidP="00393A80">
      <w:pPr>
        <w:tabs>
          <w:tab w:val="left" w:pos="510"/>
          <w:tab w:val="left" w:pos="10977"/>
        </w:tabs>
        <w:jc w:val="both"/>
        <w:rPr>
          <w:b/>
          <w:sz w:val="24"/>
        </w:rPr>
      </w:pPr>
      <w:r>
        <w:rPr>
          <w:b/>
          <w:sz w:val="24"/>
        </w:rPr>
        <w:t>D'autre part.</w:t>
      </w:r>
    </w:p>
    <w:p w14:paraId="198B5834" w14:textId="77777777" w:rsidR="00393A80" w:rsidRPr="007E3392" w:rsidRDefault="00393A80" w:rsidP="0020783F">
      <w:pPr>
        <w:tabs>
          <w:tab w:val="left" w:pos="10977"/>
        </w:tabs>
        <w:jc w:val="center"/>
        <w:rPr>
          <w:b/>
          <w:sz w:val="24"/>
        </w:rPr>
      </w:pPr>
      <w:r w:rsidRPr="007E3392">
        <w:rPr>
          <w:b/>
          <w:sz w:val="24"/>
        </w:rPr>
        <w:t>SONT CONVENU(E)S</w:t>
      </w:r>
    </w:p>
    <w:p w14:paraId="11C373AC" w14:textId="77777777" w:rsidR="00393A80" w:rsidRPr="007E3392" w:rsidRDefault="00393A80" w:rsidP="00393A80">
      <w:pPr>
        <w:pStyle w:val="Titre2"/>
      </w:pPr>
      <w:bookmarkStart w:id="118" w:name="_Toc201229499"/>
      <w:bookmarkStart w:id="119" w:name="_Toc201856560"/>
      <w:r w:rsidRPr="007E3392">
        <w:rPr>
          <w:noProof/>
        </w:rPr>
        <w:t>Article III.1:</w:t>
      </w:r>
      <w:r w:rsidRPr="007E3392">
        <w:t xml:space="preserve"> Objet</w:t>
      </w:r>
      <w:bookmarkEnd w:id="118"/>
      <w:bookmarkEnd w:id="119"/>
    </w:p>
    <w:p w14:paraId="12394A7B" w14:textId="77777777" w:rsidR="00393A80" w:rsidRPr="007E3392" w:rsidRDefault="00393A80" w:rsidP="00183B71">
      <w:pPr>
        <w:tabs>
          <w:tab w:val="left" w:pos="-480"/>
        </w:tabs>
        <w:suppressAutoHyphens/>
        <w:ind w:left="851" w:hanging="851"/>
        <w:jc w:val="both"/>
        <w:rPr>
          <w:sz w:val="24"/>
        </w:rPr>
      </w:pPr>
      <w:r w:rsidRPr="007E3392">
        <w:rPr>
          <w:b/>
          <w:noProof/>
          <w:sz w:val="24"/>
        </w:rPr>
        <w:t>III.1.1</w:t>
      </w:r>
      <w:r w:rsidRPr="007E3392">
        <w:rPr>
          <w:sz w:val="24"/>
        </w:rPr>
        <w:tab/>
        <w:t xml:space="preserve">Le présent </w:t>
      </w:r>
      <w:r w:rsidR="00885E85">
        <w:rPr>
          <w:sz w:val="24"/>
        </w:rPr>
        <w:t>marché subséquent</w:t>
      </w:r>
      <w:r w:rsidRPr="007E3392">
        <w:rPr>
          <w:sz w:val="24"/>
        </w:rPr>
        <w:t xml:space="preserve"> met en application le contrat-cadre (CC) n° </w:t>
      </w:r>
      <w:r w:rsidRPr="0020783F">
        <w:rPr>
          <w:sz w:val="24"/>
          <w:highlight w:val="yellow"/>
        </w:rPr>
        <w:t>[</w:t>
      </w:r>
      <w:r w:rsidRPr="0020783F">
        <w:rPr>
          <w:i/>
          <w:sz w:val="24"/>
          <w:highlight w:val="yellow"/>
        </w:rPr>
        <w:t>compléter</w:t>
      </w:r>
      <w:r w:rsidRPr="0020783F">
        <w:rPr>
          <w:sz w:val="24"/>
          <w:highlight w:val="yellow"/>
        </w:rPr>
        <w:t>]</w:t>
      </w:r>
      <w:r w:rsidRPr="007E3392">
        <w:rPr>
          <w:sz w:val="24"/>
        </w:rPr>
        <w:t xml:space="preserve"> signé par </w:t>
      </w:r>
      <w:r w:rsidR="00CB2123">
        <w:rPr>
          <w:sz w:val="24"/>
        </w:rPr>
        <w:t>Expertise France</w:t>
      </w:r>
      <w:r w:rsidRPr="007E3392">
        <w:rPr>
          <w:sz w:val="24"/>
        </w:rPr>
        <w:t xml:space="preserve"> et par le contractant le </w:t>
      </w:r>
      <w:r w:rsidRPr="0020783F">
        <w:rPr>
          <w:sz w:val="24"/>
          <w:highlight w:val="yellow"/>
        </w:rPr>
        <w:t>[</w:t>
      </w:r>
      <w:r w:rsidRPr="0020783F">
        <w:rPr>
          <w:i/>
          <w:sz w:val="24"/>
          <w:highlight w:val="yellow"/>
        </w:rPr>
        <w:t>indiquer la date</w:t>
      </w:r>
      <w:r w:rsidRPr="0020783F">
        <w:rPr>
          <w:sz w:val="24"/>
          <w:highlight w:val="yellow"/>
        </w:rPr>
        <w:t>].</w:t>
      </w:r>
    </w:p>
    <w:p w14:paraId="3AEAFE9E" w14:textId="77777777" w:rsidR="00393A80" w:rsidRPr="007E3392" w:rsidRDefault="00393A80" w:rsidP="00183B71">
      <w:pPr>
        <w:ind w:left="851" w:hanging="851"/>
        <w:jc w:val="both"/>
        <w:rPr>
          <w:sz w:val="24"/>
        </w:rPr>
      </w:pPr>
      <w:r w:rsidRPr="007E3392">
        <w:rPr>
          <w:b/>
          <w:noProof/>
          <w:sz w:val="24"/>
        </w:rPr>
        <w:t>III.1.2</w:t>
      </w:r>
      <w:r w:rsidRPr="007E3392">
        <w:rPr>
          <w:sz w:val="24"/>
        </w:rPr>
        <w:tab/>
        <w:t xml:space="preserve">Le présent </w:t>
      </w:r>
      <w:r w:rsidR="00885E85">
        <w:rPr>
          <w:sz w:val="24"/>
        </w:rPr>
        <w:t>marché subséquent</w:t>
      </w:r>
      <w:r w:rsidRPr="007E3392">
        <w:rPr>
          <w:sz w:val="24"/>
        </w:rPr>
        <w:t xml:space="preserve"> a pour objet [</w:t>
      </w:r>
      <w:r w:rsidRPr="0020783F">
        <w:rPr>
          <w:i/>
          <w:sz w:val="24"/>
          <w:highlight w:val="yellow"/>
        </w:rPr>
        <w:t>décrire brièvement l'objet</w:t>
      </w:r>
      <w:r w:rsidRPr="007E3392">
        <w:rPr>
          <w:sz w:val="24"/>
        </w:rPr>
        <w:t>].</w:t>
      </w:r>
    </w:p>
    <w:p w14:paraId="6436B422" w14:textId="77777777" w:rsidR="00393A80" w:rsidRPr="007E3392" w:rsidRDefault="00393A80" w:rsidP="00183B71">
      <w:pPr>
        <w:tabs>
          <w:tab w:val="left" w:pos="-480"/>
        </w:tabs>
        <w:suppressAutoHyphens/>
        <w:ind w:left="851" w:hanging="851"/>
        <w:jc w:val="both"/>
        <w:rPr>
          <w:sz w:val="24"/>
        </w:rPr>
      </w:pPr>
      <w:r w:rsidRPr="007E3392">
        <w:rPr>
          <w:b/>
          <w:noProof/>
          <w:sz w:val="24"/>
        </w:rPr>
        <w:t>III.1.3</w:t>
      </w:r>
      <w:r w:rsidRPr="007E3392">
        <w:rPr>
          <w:sz w:val="24"/>
        </w:rPr>
        <w:tab/>
        <w:t xml:space="preserve">Le contractant s'engage, aux conditions stipulées dans le CC et dans le présent </w:t>
      </w:r>
      <w:r w:rsidR="00885E85">
        <w:rPr>
          <w:sz w:val="24"/>
        </w:rPr>
        <w:t>marché subséquent</w:t>
      </w:r>
      <w:r w:rsidRPr="007E3392">
        <w:rPr>
          <w:sz w:val="24"/>
        </w:rPr>
        <w:t xml:space="preserve">, ainsi que dans leur(s) annexe(s) qui en font partie intégrante, à exécuter les tâches décrites </w:t>
      </w:r>
      <w:r w:rsidR="009C5264">
        <w:rPr>
          <w:sz w:val="24"/>
        </w:rPr>
        <w:t>dans le cahier des charges annexé au présent contrat.</w:t>
      </w:r>
    </w:p>
    <w:p w14:paraId="21A97A29" w14:textId="77777777" w:rsidR="00393A80" w:rsidRPr="007E3392" w:rsidRDefault="00393A80" w:rsidP="00393A80">
      <w:pPr>
        <w:pStyle w:val="Titre2"/>
      </w:pPr>
      <w:bookmarkStart w:id="120" w:name="_Toc201229500"/>
      <w:bookmarkStart w:id="121" w:name="_Toc201856561"/>
      <w:r w:rsidRPr="007E3392">
        <w:t>Article III.2: Entrée en vigueur et durée</w:t>
      </w:r>
      <w:bookmarkEnd w:id="120"/>
      <w:bookmarkEnd w:id="121"/>
    </w:p>
    <w:p w14:paraId="7DC02965" w14:textId="77777777" w:rsidR="009C5264" w:rsidRDefault="00393A80" w:rsidP="00183B71">
      <w:pPr>
        <w:ind w:left="851" w:hanging="851"/>
        <w:jc w:val="both"/>
        <w:rPr>
          <w:sz w:val="24"/>
        </w:rPr>
      </w:pPr>
      <w:r w:rsidRPr="007E3392">
        <w:rPr>
          <w:b/>
          <w:noProof/>
          <w:color w:val="000000"/>
          <w:sz w:val="24"/>
        </w:rPr>
        <w:t>III.2.1</w:t>
      </w:r>
      <w:r w:rsidRPr="007E3392">
        <w:rPr>
          <w:color w:val="000000"/>
          <w:sz w:val="24"/>
        </w:rPr>
        <w:tab/>
      </w:r>
      <w:r w:rsidRPr="007E3392">
        <w:rPr>
          <w:sz w:val="24"/>
        </w:rPr>
        <w:t xml:space="preserve">Le présent </w:t>
      </w:r>
      <w:r w:rsidR="00885E85">
        <w:rPr>
          <w:sz w:val="24"/>
        </w:rPr>
        <w:t>marché subséquent</w:t>
      </w:r>
      <w:r w:rsidRPr="007E3392">
        <w:rPr>
          <w:sz w:val="24"/>
        </w:rPr>
        <w:t xml:space="preserve"> entre en vigueur</w:t>
      </w:r>
      <w:r w:rsidR="0020783F">
        <w:rPr>
          <w:sz w:val="24"/>
        </w:rPr>
        <w:t xml:space="preserve"> à </w:t>
      </w:r>
      <w:r w:rsidR="000C6D0A">
        <w:rPr>
          <w:sz w:val="24"/>
        </w:rPr>
        <w:t>s</w:t>
      </w:r>
      <w:r w:rsidR="0020783F">
        <w:rPr>
          <w:sz w:val="24"/>
        </w:rPr>
        <w:t>a date de notification</w:t>
      </w:r>
      <w:r w:rsidR="009C5264">
        <w:rPr>
          <w:sz w:val="24"/>
        </w:rPr>
        <w:t>.</w:t>
      </w:r>
    </w:p>
    <w:p w14:paraId="5000F1DD" w14:textId="77777777" w:rsidR="00393A80" w:rsidRDefault="00393A80" w:rsidP="009C5264">
      <w:pPr>
        <w:ind w:left="851" w:hanging="851"/>
        <w:jc w:val="both"/>
        <w:rPr>
          <w:sz w:val="24"/>
        </w:rPr>
      </w:pPr>
      <w:r w:rsidRPr="007E3392">
        <w:rPr>
          <w:b/>
          <w:noProof/>
          <w:color w:val="000000"/>
          <w:sz w:val="24"/>
        </w:rPr>
        <w:t>III.2.2</w:t>
      </w:r>
      <w:r w:rsidRPr="007E3392">
        <w:rPr>
          <w:b/>
          <w:color w:val="000000"/>
          <w:sz w:val="24"/>
        </w:rPr>
        <w:tab/>
      </w:r>
      <w:r w:rsidRPr="007E3392">
        <w:rPr>
          <w:sz w:val="24"/>
        </w:rPr>
        <w:t xml:space="preserve">La durée d'exécution des tâches ne doit pas dépasser </w:t>
      </w:r>
      <w:r w:rsidR="009C5264">
        <w:rPr>
          <w:sz w:val="24"/>
        </w:rPr>
        <w:t xml:space="preserve">le calendrier mentionné au cahier des charges. </w:t>
      </w:r>
      <w:r w:rsidRPr="007E3392">
        <w:rPr>
          <w:sz w:val="24"/>
        </w:rPr>
        <w:t>Le délai d'exécution des tâches ne peut être prolongé que moyennant l'accord exprès écrit des parties avant l'expiration du délai.</w:t>
      </w:r>
    </w:p>
    <w:p w14:paraId="4F4B93F6" w14:textId="77777777" w:rsidR="00F023EC" w:rsidRPr="00724DEA" w:rsidRDefault="00F023EC" w:rsidP="00F023EC">
      <w:pPr>
        <w:ind w:left="851"/>
        <w:jc w:val="both"/>
        <w:rPr>
          <w:color w:val="000000"/>
          <w:sz w:val="32"/>
        </w:rPr>
      </w:pPr>
      <w:r w:rsidRPr="00724DEA">
        <w:rPr>
          <w:sz w:val="24"/>
        </w:rPr>
        <w:t xml:space="preserve">Le présent marché subséquent pourra être résilié de plein droit </w:t>
      </w:r>
      <w:r w:rsidR="00372905">
        <w:rPr>
          <w:sz w:val="24"/>
        </w:rPr>
        <w:t xml:space="preserve">et de façon anticipée </w:t>
      </w:r>
      <w:r w:rsidRPr="00724DEA">
        <w:rPr>
          <w:sz w:val="24"/>
        </w:rPr>
        <w:t>par Expertise France, en cas d’inexécution totale ou partielle par le contractant de ses obligations, après mise en demeure restée sans effet dans un délai de [15] jours calendaires. Il pourra également être résilié à tout moment pour conve</w:t>
      </w:r>
      <w:r w:rsidRPr="00F023EC">
        <w:rPr>
          <w:sz w:val="24"/>
        </w:rPr>
        <w:t xml:space="preserve">nance, </w:t>
      </w:r>
      <w:r w:rsidRPr="00F023EC">
        <w:rPr>
          <w:sz w:val="24"/>
        </w:rPr>
        <w:lastRenderedPageBreak/>
        <w:t>moyennant un préavis de ex. : 30 jours</w:t>
      </w:r>
      <w:r w:rsidRPr="00724DEA">
        <w:rPr>
          <w:sz w:val="24"/>
        </w:rPr>
        <w:t>, sans que le contractant puisse prétendre à une indemnité, sauf pour les prestations dûment engagées et validées.</w:t>
      </w:r>
    </w:p>
    <w:p w14:paraId="217814B1" w14:textId="77777777" w:rsidR="00393A80" w:rsidRPr="007E3392" w:rsidRDefault="00393A80" w:rsidP="00393A80">
      <w:pPr>
        <w:pStyle w:val="Titre2"/>
      </w:pPr>
      <w:bookmarkStart w:id="122" w:name="_Toc201229501"/>
      <w:bookmarkStart w:id="123" w:name="_Toc201856562"/>
      <w:r w:rsidRPr="007E3392">
        <w:t>Article III.3: Prix</w:t>
      </w:r>
      <w:bookmarkEnd w:id="122"/>
      <w:bookmarkEnd w:id="123"/>
    </w:p>
    <w:p w14:paraId="16BE995A" w14:textId="77777777" w:rsidR="00393A80" w:rsidRPr="007E3392" w:rsidRDefault="00393A80" w:rsidP="00183B71">
      <w:pPr>
        <w:ind w:left="851" w:hanging="851"/>
        <w:jc w:val="both"/>
        <w:rPr>
          <w:sz w:val="24"/>
        </w:rPr>
      </w:pPr>
      <w:r w:rsidRPr="007E3392">
        <w:rPr>
          <w:b/>
          <w:noProof/>
          <w:sz w:val="24"/>
        </w:rPr>
        <w:t>III.3.1</w:t>
      </w:r>
      <w:r w:rsidRPr="007E3392">
        <w:rPr>
          <w:sz w:val="24"/>
        </w:rPr>
        <w:tab/>
        <w:t xml:space="preserve">Le prix total maximal à verser en vertu du présent </w:t>
      </w:r>
      <w:r w:rsidR="00885E85">
        <w:rPr>
          <w:sz w:val="24"/>
        </w:rPr>
        <w:t>marché subséquent</w:t>
      </w:r>
      <w:r w:rsidRPr="007E3392">
        <w:rPr>
          <w:sz w:val="24"/>
        </w:rPr>
        <w:t xml:space="preserve"> s'élève à [</w:t>
      </w:r>
      <w:r w:rsidRPr="000C6D0A">
        <w:rPr>
          <w:i/>
          <w:sz w:val="24"/>
          <w:highlight w:val="yellow"/>
        </w:rPr>
        <w:t>montant en chiffres et en lettres</w:t>
      </w:r>
      <w:r w:rsidRPr="007E3392">
        <w:rPr>
          <w:sz w:val="24"/>
        </w:rPr>
        <w:t xml:space="preserve">] euros et couvre l'ensemble des tâches exécutées. </w:t>
      </w:r>
    </w:p>
    <w:p w14:paraId="290DDD60" w14:textId="77777777" w:rsidR="00393A80" w:rsidRPr="007E3392" w:rsidRDefault="00393A80" w:rsidP="00183B71">
      <w:pPr>
        <w:ind w:left="851" w:hanging="851"/>
        <w:jc w:val="both"/>
        <w:rPr>
          <w:sz w:val="24"/>
        </w:rPr>
      </w:pPr>
      <w:r w:rsidRPr="007E3392">
        <w:rPr>
          <w:b/>
          <w:noProof/>
          <w:sz w:val="24"/>
        </w:rPr>
        <w:t>III.3.2</w:t>
      </w:r>
      <w:r w:rsidRPr="007E3392">
        <w:rPr>
          <w:sz w:val="24"/>
        </w:rPr>
        <w:tab/>
        <w:t xml:space="preserve">Outre le prix total maximal, les frais </w:t>
      </w:r>
      <w:r w:rsidR="002E7B6C">
        <w:rPr>
          <w:sz w:val="24"/>
        </w:rPr>
        <w:t>divers évoqués à l’article du contrat cadre s’exécuteront</w:t>
      </w:r>
      <w:r w:rsidRPr="007E3392">
        <w:rPr>
          <w:sz w:val="24"/>
        </w:rPr>
        <w:t xml:space="preserve"> se</w:t>
      </w:r>
      <w:r w:rsidR="00A24E21">
        <w:rPr>
          <w:sz w:val="24"/>
        </w:rPr>
        <w:t>lon les modalités prévues au CC</w:t>
      </w:r>
      <w:r w:rsidR="002E7B6C">
        <w:rPr>
          <w:sz w:val="24"/>
        </w:rPr>
        <w:t xml:space="preserve"> et CCTP et ses annexes </w:t>
      </w:r>
      <w:r w:rsidRPr="007E3392">
        <w:rPr>
          <w:sz w:val="24"/>
        </w:rPr>
        <w:t>.</w:t>
      </w:r>
    </w:p>
    <w:p w14:paraId="13F270E3" w14:textId="77777777" w:rsidR="00393A80" w:rsidRPr="007E3392" w:rsidRDefault="00393A80" w:rsidP="00393A80">
      <w:pPr>
        <w:pStyle w:val="Titre2"/>
      </w:pPr>
      <w:bookmarkStart w:id="124" w:name="_Toc201229502"/>
      <w:bookmarkStart w:id="125" w:name="_Toc201856563"/>
      <w:r w:rsidRPr="007E3392">
        <w:rPr>
          <w:smallCaps w:val="0"/>
        </w:rPr>
        <w:t xml:space="preserve">ARTICLE III.4: </w:t>
      </w:r>
      <w:r w:rsidRPr="007E3392">
        <w:t>Garantie de bonne fin</w:t>
      </w:r>
      <w:bookmarkEnd w:id="124"/>
      <w:bookmarkEnd w:id="125"/>
    </w:p>
    <w:p w14:paraId="56E1731B" w14:textId="77777777" w:rsidR="00393A80" w:rsidRPr="007E3392" w:rsidRDefault="00E50537" w:rsidP="00393A80">
      <w:pPr>
        <w:tabs>
          <w:tab w:val="left" w:pos="-480"/>
        </w:tabs>
        <w:suppressAutoHyphens/>
        <w:ind w:left="709" w:hanging="709"/>
        <w:jc w:val="both"/>
        <w:rPr>
          <w:sz w:val="24"/>
        </w:rPr>
      </w:pPr>
      <w:r>
        <w:rPr>
          <w:sz w:val="24"/>
        </w:rPr>
        <w:t>Sans objet</w:t>
      </w:r>
    </w:p>
    <w:p w14:paraId="2209A6F5" w14:textId="77777777" w:rsidR="00393A80" w:rsidRPr="007E3392" w:rsidRDefault="00393A80" w:rsidP="00393A80">
      <w:pPr>
        <w:pStyle w:val="Titre2"/>
      </w:pPr>
      <w:bookmarkStart w:id="126" w:name="_Toc201229503"/>
      <w:bookmarkStart w:id="127" w:name="_Toc201856564"/>
      <w:r w:rsidRPr="007E3392">
        <w:t>Article III.5: Exploitation des résultats</w:t>
      </w:r>
      <w:bookmarkEnd w:id="126"/>
      <w:bookmarkEnd w:id="127"/>
    </w:p>
    <w:p w14:paraId="6756B7CE" w14:textId="77777777" w:rsidR="00E50537" w:rsidRDefault="00393A80" w:rsidP="00393A80">
      <w:pPr>
        <w:tabs>
          <w:tab w:val="left" w:pos="-480"/>
        </w:tabs>
        <w:suppressAutoHyphens/>
        <w:ind w:left="709" w:hanging="709"/>
        <w:jc w:val="both"/>
        <w:rPr>
          <w:sz w:val="24"/>
        </w:rPr>
      </w:pPr>
      <w:r w:rsidRPr="007E3392">
        <w:rPr>
          <w:sz w:val="24"/>
        </w:rPr>
        <w:t>S</w:t>
      </w:r>
      <w:r w:rsidR="00E50537">
        <w:rPr>
          <w:sz w:val="24"/>
        </w:rPr>
        <w:t>elon la clause I.8 des conditions particulières du CC.</w:t>
      </w:r>
    </w:p>
    <w:p w14:paraId="04D63986" w14:textId="77777777" w:rsidR="00393A80" w:rsidRPr="007E3392" w:rsidRDefault="00393A80" w:rsidP="00724DEA">
      <w:pPr>
        <w:pStyle w:val="Titre2"/>
        <w:spacing w:before="0" w:beforeAutospacing="0" w:after="0" w:afterAutospacing="0"/>
      </w:pPr>
      <w:bookmarkStart w:id="128" w:name="_Toc201229504"/>
      <w:bookmarkStart w:id="129" w:name="_Toc201856565"/>
      <w:r w:rsidRPr="007E3392">
        <w:rPr>
          <w:noProof/>
        </w:rPr>
        <w:t>Annexes</w:t>
      </w:r>
      <w:bookmarkEnd w:id="128"/>
      <w:bookmarkEnd w:id="129"/>
    </w:p>
    <w:p w14:paraId="29697B6F" w14:textId="77777777" w:rsidR="00393A80" w:rsidRPr="00724DEA" w:rsidRDefault="00393A80" w:rsidP="00B900C6">
      <w:pPr>
        <w:pStyle w:val="Paragraphedeliste"/>
        <w:numPr>
          <w:ilvl w:val="0"/>
          <w:numId w:val="19"/>
        </w:numPr>
        <w:tabs>
          <w:tab w:val="left" w:pos="-480"/>
        </w:tabs>
        <w:suppressAutoHyphens/>
        <w:spacing w:before="0" w:beforeAutospacing="0" w:after="0" w:afterAutospacing="0"/>
        <w:jc w:val="both"/>
        <w:rPr>
          <w:sz w:val="24"/>
        </w:rPr>
      </w:pPr>
      <w:r w:rsidRPr="00724DEA">
        <w:rPr>
          <w:sz w:val="24"/>
        </w:rPr>
        <w:t>Offre spécifique du contractant (n° [</w:t>
      </w:r>
      <w:r w:rsidRPr="00724DEA">
        <w:rPr>
          <w:i/>
          <w:sz w:val="24"/>
        </w:rPr>
        <w:t>compléter</w:t>
      </w:r>
      <w:r w:rsidRPr="00724DEA">
        <w:rPr>
          <w:sz w:val="24"/>
        </w:rPr>
        <w:t>]</w:t>
      </w:r>
      <w:r w:rsidRPr="006D2F01">
        <w:rPr>
          <w:vanish/>
          <w:color w:val="800080"/>
          <w:vertAlign w:val="subscript"/>
        </w:rPr>
        <w:t xml:space="preserve"> </w:t>
      </w:r>
      <w:r w:rsidRPr="007E3392">
        <w:rPr>
          <w:rStyle w:val="Appelnotedebasdep"/>
          <w:i/>
          <w:sz w:val="24"/>
        </w:rPr>
        <w:footnoteReference w:id="13"/>
      </w:r>
      <w:r w:rsidRPr="00724DEA">
        <w:rPr>
          <w:sz w:val="24"/>
        </w:rPr>
        <w:t xml:space="preserve"> du [</w:t>
      </w:r>
      <w:r w:rsidRPr="00724DEA">
        <w:rPr>
          <w:i/>
          <w:sz w:val="24"/>
        </w:rPr>
        <w:t>date</w:t>
      </w:r>
      <w:r w:rsidRPr="00724DEA">
        <w:rPr>
          <w:sz w:val="24"/>
        </w:rPr>
        <w:t>])</w:t>
      </w:r>
    </w:p>
    <w:p w14:paraId="4EB11C2D" w14:textId="77777777" w:rsidR="006D2F01" w:rsidRPr="00724DEA" w:rsidRDefault="006D2F01" w:rsidP="00B900C6">
      <w:pPr>
        <w:pStyle w:val="Paragraphedeliste"/>
        <w:numPr>
          <w:ilvl w:val="0"/>
          <w:numId w:val="19"/>
        </w:numPr>
        <w:tabs>
          <w:tab w:val="left" w:pos="-480"/>
        </w:tabs>
        <w:suppressAutoHyphens/>
        <w:spacing w:before="0" w:beforeAutospacing="0" w:after="0" w:afterAutospacing="0"/>
        <w:jc w:val="both"/>
        <w:rPr>
          <w:sz w:val="24"/>
        </w:rPr>
      </w:pPr>
      <w:r w:rsidRPr="00724DEA">
        <w:rPr>
          <w:sz w:val="24"/>
        </w:rPr>
        <w:t>Cahier des charges relatif au présent MS</w:t>
      </w:r>
    </w:p>
    <w:p w14:paraId="7B92D5CB" w14:textId="77777777" w:rsidR="006D2F01" w:rsidRPr="00724DEA" w:rsidRDefault="006D2F01" w:rsidP="00B900C6">
      <w:pPr>
        <w:pStyle w:val="Paragraphedeliste"/>
        <w:numPr>
          <w:ilvl w:val="0"/>
          <w:numId w:val="19"/>
        </w:numPr>
        <w:tabs>
          <w:tab w:val="left" w:pos="-480"/>
        </w:tabs>
        <w:suppressAutoHyphens/>
        <w:spacing w:before="0" w:beforeAutospacing="0" w:after="0" w:afterAutospacing="0"/>
        <w:jc w:val="both"/>
        <w:rPr>
          <w:sz w:val="24"/>
        </w:rPr>
      </w:pPr>
      <w:r w:rsidRPr="00724DEA">
        <w:rPr>
          <w:sz w:val="24"/>
        </w:rPr>
        <w:t>Annexe(s) budgétaire(s) et planning prévisionnel</w:t>
      </w:r>
    </w:p>
    <w:p w14:paraId="4B20B8B8" w14:textId="77777777" w:rsidR="006D2F01" w:rsidRPr="00724DEA" w:rsidRDefault="006D2F01" w:rsidP="00B900C6">
      <w:pPr>
        <w:pStyle w:val="Paragraphedeliste"/>
        <w:numPr>
          <w:ilvl w:val="0"/>
          <w:numId w:val="19"/>
        </w:numPr>
        <w:tabs>
          <w:tab w:val="left" w:pos="-480"/>
        </w:tabs>
        <w:suppressAutoHyphens/>
        <w:spacing w:before="0" w:beforeAutospacing="0" w:after="0" w:afterAutospacing="0"/>
        <w:jc w:val="both"/>
        <w:rPr>
          <w:sz w:val="24"/>
        </w:rPr>
      </w:pPr>
      <w:r w:rsidRPr="00724DEA">
        <w:rPr>
          <w:sz w:val="24"/>
        </w:rPr>
        <w:t>Modalités de remboursement des frais, le cas échéant</w:t>
      </w:r>
    </w:p>
    <w:p w14:paraId="415B3AF1" w14:textId="77777777" w:rsidR="006D2F01" w:rsidRDefault="006D2F01" w:rsidP="00724DEA">
      <w:pPr>
        <w:tabs>
          <w:tab w:val="left" w:pos="-480"/>
        </w:tabs>
        <w:suppressAutoHyphens/>
        <w:jc w:val="both"/>
        <w:rPr>
          <w:sz w:val="24"/>
        </w:rPr>
      </w:pPr>
    </w:p>
    <w:p w14:paraId="63F1100E" w14:textId="77777777" w:rsidR="00B259DA" w:rsidRPr="00B259DA" w:rsidRDefault="00B259DA" w:rsidP="00C56763">
      <w:pPr>
        <w:spacing w:before="0" w:beforeAutospacing="0" w:after="360" w:afterAutospacing="0"/>
        <w:rPr>
          <w:b/>
          <w:smallCaps/>
          <w:sz w:val="28"/>
          <w:u w:val="single"/>
        </w:rPr>
      </w:pPr>
      <w:r w:rsidRPr="00B259DA">
        <w:rPr>
          <w:b/>
          <w:smallCaps/>
          <w:sz w:val="28"/>
          <w:u w:val="single"/>
        </w:rPr>
        <w:t>Mentions déclaratives et</w:t>
      </w:r>
      <w:r w:rsidRPr="00B259DA">
        <w:rPr>
          <w:b/>
          <w:sz w:val="28"/>
          <w:u w:val="single"/>
        </w:rPr>
        <w:t xml:space="preserve"> </w:t>
      </w:r>
      <w:r w:rsidRPr="00B259DA">
        <w:rPr>
          <w:b/>
          <w:smallCaps/>
          <w:sz w:val="28"/>
          <w:u w:val="single"/>
        </w:rPr>
        <w:t>signatures</w:t>
      </w:r>
    </w:p>
    <w:p w14:paraId="3201E77E" w14:textId="77777777" w:rsidR="00B259DA" w:rsidRPr="00C57F1D" w:rsidRDefault="00B259DA" w:rsidP="00C57F1D">
      <w:pPr>
        <w:jc w:val="both"/>
        <w:rPr>
          <w:sz w:val="24"/>
        </w:rPr>
      </w:pPr>
      <w:bookmarkStart w:id="130" w:name="_Toc201229505"/>
      <w:r w:rsidRPr="00C57F1D">
        <w:rPr>
          <w:sz w:val="24"/>
        </w:rPr>
        <w:t>Le Contractant, les membres de son groupement, ses fournisseurs, ses prestataires, ses consultants et ses sous-traitants (comprenant les directeurs, employés et agents de ces entités) attestent :</w:t>
      </w:r>
      <w:bookmarkEnd w:id="130"/>
      <w:r w:rsidRPr="00C57F1D">
        <w:rPr>
          <w:sz w:val="24"/>
        </w:rPr>
        <w:t xml:space="preserve"> </w:t>
      </w:r>
    </w:p>
    <w:p w14:paraId="0E1A90A9" w14:textId="77777777" w:rsidR="00B259DA" w:rsidRPr="00C57F1D" w:rsidRDefault="00B259DA" w:rsidP="00B900C6">
      <w:pPr>
        <w:pStyle w:val="Paragraphedeliste"/>
        <w:numPr>
          <w:ilvl w:val="0"/>
          <w:numId w:val="24"/>
        </w:numPr>
        <w:jc w:val="both"/>
        <w:rPr>
          <w:sz w:val="24"/>
        </w:rPr>
      </w:pPr>
      <w:bookmarkStart w:id="131" w:name="_Toc201229506"/>
      <w:r w:rsidRPr="00C57F1D">
        <w:rPr>
          <w:sz w:val="24"/>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31" w:history="1">
        <w:r w:rsidRPr="00C57F1D">
          <w:rPr>
            <w:rStyle w:val="Lienhypertexte"/>
            <w:bCs/>
            <w:sz w:val="24"/>
          </w:rPr>
          <w:t>https://www.sanctionsmap.eu</w:t>
        </w:r>
      </w:hyperlink>
      <w:r w:rsidRPr="00C57F1D">
        <w:rPr>
          <w:sz w:val="24"/>
        </w:rPr>
        <w:t xml:space="preserve"> ;</w:t>
      </w:r>
      <w:bookmarkEnd w:id="131"/>
    </w:p>
    <w:p w14:paraId="2C2C6C9A" w14:textId="77777777" w:rsidR="00B259DA" w:rsidRPr="00C57F1D" w:rsidRDefault="00B259DA" w:rsidP="00B900C6">
      <w:pPr>
        <w:pStyle w:val="Paragraphedeliste"/>
        <w:numPr>
          <w:ilvl w:val="0"/>
          <w:numId w:val="24"/>
        </w:numPr>
        <w:jc w:val="both"/>
        <w:rPr>
          <w:sz w:val="24"/>
        </w:rPr>
      </w:pPr>
      <w:bookmarkStart w:id="132" w:name="_Toc201229507"/>
      <w:r w:rsidRPr="00C57F1D">
        <w:rPr>
          <w:sz w:val="24"/>
        </w:rPr>
        <w:t>qu’ils ne figurent pas sur les listes de sanctions financières adoptées par les Nations Unies, l’Union Européenne et/ou la France, notamment au titre de la lutte contre le financement du terrorisme et contre les atteintes à la paix et à la sécurité nationales. A titre d’information, les listes peuvent être consultées aux références ci-dessous:</w:t>
      </w:r>
      <w:bookmarkEnd w:id="132"/>
    </w:p>
    <w:p w14:paraId="3F4F152E" w14:textId="77777777" w:rsidR="00B259DA" w:rsidRPr="008D112D" w:rsidRDefault="00B259DA" w:rsidP="00B900C6">
      <w:pPr>
        <w:pStyle w:val="Paragraphedeliste"/>
        <w:numPr>
          <w:ilvl w:val="0"/>
          <w:numId w:val="25"/>
        </w:numPr>
        <w:ind w:left="1134"/>
        <w:jc w:val="both"/>
        <w:rPr>
          <w:sz w:val="24"/>
        </w:rPr>
      </w:pPr>
      <w:bookmarkStart w:id="133" w:name="_Toc201229508"/>
      <w:r w:rsidRPr="008D112D">
        <w:rPr>
          <w:sz w:val="24"/>
        </w:rPr>
        <w:lastRenderedPageBreak/>
        <w:t xml:space="preserve">pour les Nations Unies, recueil des listes de sanctions du Conseil de sécurité des Nations Unies : </w:t>
      </w:r>
      <w:hyperlink r:id="rId32" w:history="1">
        <w:r w:rsidR="009F4A57" w:rsidRPr="008D112D">
          <w:rPr>
            <w:rStyle w:val="Lienhypertexte"/>
            <w:bCs/>
            <w:sz w:val="24"/>
          </w:rPr>
          <w:t>https://www.un.org/securitycouncil/content/un-sc-consolidated-list</w:t>
        </w:r>
      </w:hyperlink>
      <w:r w:rsidRPr="008D112D">
        <w:rPr>
          <w:sz w:val="24"/>
        </w:rPr>
        <w:t>,</w:t>
      </w:r>
      <w:bookmarkEnd w:id="133"/>
    </w:p>
    <w:p w14:paraId="57EC5941" w14:textId="77777777" w:rsidR="00B259DA" w:rsidRPr="008D112D" w:rsidRDefault="00B259DA" w:rsidP="00B900C6">
      <w:pPr>
        <w:pStyle w:val="Paragraphedeliste"/>
        <w:numPr>
          <w:ilvl w:val="0"/>
          <w:numId w:val="25"/>
        </w:numPr>
        <w:ind w:left="1134"/>
        <w:jc w:val="both"/>
        <w:rPr>
          <w:sz w:val="24"/>
        </w:rPr>
      </w:pPr>
      <w:bookmarkStart w:id="134" w:name="_Toc201229509"/>
      <w:r w:rsidRPr="008D112D">
        <w:rPr>
          <w:sz w:val="24"/>
        </w:rPr>
        <w:t xml:space="preserve">pour l’Union européenne, les listes peuvent être consultées à l’adresse suivante : </w:t>
      </w:r>
      <w:hyperlink r:id="rId33" w:history="1">
        <w:r w:rsidRPr="008D112D">
          <w:rPr>
            <w:rStyle w:val="Lienhypertexte"/>
            <w:bCs/>
            <w:sz w:val="24"/>
          </w:rPr>
          <w:t>https://www.sanctionsmap.eu</w:t>
        </w:r>
      </w:hyperlink>
      <w:r w:rsidRPr="008D112D">
        <w:rPr>
          <w:sz w:val="24"/>
        </w:rPr>
        <w:t>,</w:t>
      </w:r>
      <w:bookmarkEnd w:id="134"/>
    </w:p>
    <w:p w14:paraId="212900C3" w14:textId="77777777" w:rsidR="00B259DA" w:rsidRPr="008D112D" w:rsidRDefault="00B259DA" w:rsidP="00B900C6">
      <w:pPr>
        <w:pStyle w:val="Paragraphedeliste"/>
        <w:numPr>
          <w:ilvl w:val="0"/>
          <w:numId w:val="25"/>
        </w:numPr>
        <w:ind w:left="1134"/>
        <w:jc w:val="both"/>
        <w:rPr>
          <w:sz w:val="24"/>
        </w:rPr>
      </w:pPr>
      <w:bookmarkStart w:id="135" w:name="_Toc201229510"/>
      <w:r w:rsidRPr="008D112D">
        <w:rPr>
          <w:sz w:val="24"/>
        </w:rPr>
        <w:t xml:space="preserve">pour la France, voir : </w:t>
      </w:r>
      <w:hyperlink r:id="rId34" w:history="1">
        <w:r w:rsidR="009F4A57" w:rsidRPr="008D112D">
          <w:rPr>
            <w:rStyle w:val="Lienhypertexte"/>
            <w:bCs/>
            <w:sz w:val="24"/>
          </w:rPr>
          <w:t>https://gels-avoirs.dgtresor.gouv.fr/List</w:t>
        </w:r>
      </w:hyperlink>
      <w:r w:rsidRPr="008D112D">
        <w:rPr>
          <w:sz w:val="24"/>
        </w:rPr>
        <w:t xml:space="preserve"> ;</w:t>
      </w:r>
      <w:bookmarkEnd w:id="135"/>
      <w:r w:rsidRPr="008D112D">
        <w:rPr>
          <w:sz w:val="24"/>
        </w:rPr>
        <w:t xml:space="preserve"> </w:t>
      </w:r>
    </w:p>
    <w:p w14:paraId="3D0EECC4" w14:textId="77777777" w:rsidR="00B259DA" w:rsidRPr="008D112D" w:rsidRDefault="00B259DA" w:rsidP="00B900C6">
      <w:pPr>
        <w:pStyle w:val="Paragraphedeliste"/>
        <w:numPr>
          <w:ilvl w:val="0"/>
          <w:numId w:val="25"/>
        </w:numPr>
        <w:ind w:left="1134"/>
        <w:jc w:val="both"/>
        <w:rPr>
          <w:sz w:val="24"/>
        </w:rPr>
      </w:pPr>
      <w:bookmarkStart w:id="136" w:name="_Toc201229511"/>
      <w:r w:rsidRPr="008D112D">
        <w:rPr>
          <w:sz w:val="24"/>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35" w:history="1">
        <w:r w:rsidRPr="008D112D">
          <w:rPr>
            <w:rStyle w:val="Lienhypertexte"/>
            <w:bCs/>
            <w:sz w:val="24"/>
          </w:rPr>
          <w:t>https://www.worldbank.org/en/projects-operations/procurement/debarred-firms</w:t>
        </w:r>
        <w:bookmarkEnd w:id="136"/>
      </w:hyperlink>
      <w:r w:rsidRPr="008D112D">
        <w:rPr>
          <w:sz w:val="24"/>
        </w:rPr>
        <w:t xml:space="preserve">  </w:t>
      </w:r>
    </w:p>
    <w:p w14:paraId="461960D1" w14:textId="78652491" w:rsidR="00B259DA" w:rsidRPr="00164983" w:rsidRDefault="00B259DA" w:rsidP="00164983">
      <w:pPr>
        <w:jc w:val="both"/>
        <w:rPr>
          <w:sz w:val="24"/>
        </w:rPr>
      </w:pPr>
      <w:bookmarkStart w:id="137" w:name="_Toc201229512"/>
      <w:bookmarkStart w:id="138" w:name="_Toc201856566"/>
      <w:r w:rsidRPr="00164983">
        <w:rPr>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37"/>
      <w:bookmarkEnd w:id="138"/>
    </w:p>
    <w:p w14:paraId="6CFCEB81" w14:textId="0563E504" w:rsidR="00B259DA" w:rsidRPr="00164983" w:rsidRDefault="00B259DA" w:rsidP="00164983">
      <w:pPr>
        <w:jc w:val="both"/>
        <w:rPr>
          <w:sz w:val="24"/>
        </w:rPr>
      </w:pPr>
      <w:bookmarkStart w:id="139" w:name="_Toc201229513"/>
      <w:bookmarkStart w:id="140" w:name="_Toc201856567"/>
      <w:r w:rsidRPr="00164983">
        <w:rPr>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Start w:id="141" w:name="_GoBack"/>
      <w:bookmarkEnd w:id="139"/>
      <w:bookmarkEnd w:id="140"/>
      <w:bookmarkEnd w:id="141"/>
    </w:p>
    <w:p w14:paraId="3DE395A5" w14:textId="77777777" w:rsidR="00B259DA" w:rsidRPr="00164983" w:rsidRDefault="00B259DA" w:rsidP="00164983">
      <w:pPr>
        <w:jc w:val="both"/>
        <w:rPr>
          <w:sz w:val="24"/>
        </w:rPr>
      </w:pPr>
      <w:bookmarkStart w:id="142" w:name="_Toc201229514"/>
      <w:bookmarkStart w:id="143" w:name="_Toc201856568"/>
      <w:r w:rsidRPr="00164983">
        <w:rPr>
          <w:sz w:val="24"/>
        </w:rPr>
        <w:t>Ils s’engagent en outre à communiquer sans délai à Expertise France, tout changement de sa situation au cours de l’exécution du marché, au regard de la présente déclaration.</w:t>
      </w:r>
      <w:bookmarkEnd w:id="142"/>
      <w:bookmarkEnd w:id="143"/>
    </w:p>
    <w:p w14:paraId="5EF0B66D" w14:textId="77777777" w:rsidR="004F1EF7" w:rsidRDefault="004F1EF7" w:rsidP="00B259DA">
      <w:pPr>
        <w:spacing w:before="0" w:beforeAutospacing="0" w:after="0" w:afterAutospacing="0"/>
        <w:jc w:val="both"/>
        <w:outlineLvl w:val="0"/>
        <w:rPr>
          <w:bCs/>
          <w:sz w:val="24"/>
        </w:rPr>
      </w:pPr>
    </w:p>
    <w:tbl>
      <w:tblPr>
        <w:tblW w:w="8897"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503"/>
        <w:gridCol w:w="4394"/>
      </w:tblGrid>
      <w:tr w:rsidR="003F43C0" w:rsidRPr="00361126" w14:paraId="687DC94F" w14:textId="77777777" w:rsidTr="00EA6111">
        <w:tc>
          <w:tcPr>
            <w:tcW w:w="4503" w:type="dxa"/>
          </w:tcPr>
          <w:p w14:paraId="53936B7B" w14:textId="77777777" w:rsidR="006F1B51" w:rsidRDefault="006F1B51" w:rsidP="006F1B51">
            <w:pPr>
              <w:autoSpaceDE w:val="0"/>
              <w:autoSpaceDN w:val="0"/>
              <w:adjustRightInd w:val="0"/>
              <w:jc w:val="both"/>
              <w:rPr>
                <w:rFonts w:cs="Arial"/>
                <w:b/>
                <w:smallCaps/>
                <w:sz w:val="24"/>
                <w:u w:val="single"/>
              </w:rPr>
            </w:pPr>
            <w:r>
              <w:rPr>
                <w:rFonts w:cs="Arial"/>
                <w:b/>
                <w:smallCaps/>
                <w:sz w:val="24"/>
                <w:u w:val="single"/>
              </w:rPr>
              <w:t>Pour le Contractant :</w:t>
            </w:r>
          </w:p>
          <w:p w14:paraId="598F3F80" w14:textId="77777777" w:rsidR="003F43C0" w:rsidRPr="005A7005" w:rsidRDefault="003F43C0" w:rsidP="00EA6111">
            <w:pPr>
              <w:tabs>
                <w:tab w:val="left" w:pos="-142"/>
                <w:tab w:val="left" w:pos="0"/>
                <w:tab w:val="left" w:pos="10977"/>
              </w:tabs>
              <w:rPr>
                <w:i/>
                <w:sz w:val="24"/>
              </w:rPr>
            </w:pPr>
            <w:r w:rsidRPr="005A7005">
              <w:rPr>
                <w:i/>
                <w:sz w:val="24"/>
                <w:highlight w:val="green"/>
              </w:rPr>
              <w:t>nom de la société / nom / prénom / fonction</w:t>
            </w:r>
          </w:p>
          <w:p w14:paraId="6783E7F7" w14:textId="77777777" w:rsidR="003F43C0" w:rsidRPr="005A7005" w:rsidRDefault="003F43C0" w:rsidP="00EA6111">
            <w:pPr>
              <w:tabs>
                <w:tab w:val="left" w:pos="0"/>
                <w:tab w:val="left" w:pos="510"/>
                <w:tab w:val="left" w:pos="10977"/>
              </w:tabs>
              <w:jc w:val="both"/>
              <w:rPr>
                <w:sz w:val="24"/>
              </w:rPr>
            </w:pPr>
            <w:r w:rsidRPr="005A7005">
              <w:rPr>
                <w:sz w:val="24"/>
              </w:rPr>
              <w:t>Fait à</w:t>
            </w:r>
            <w:r w:rsidRPr="005A7005">
              <w:rPr>
                <w:sz w:val="24"/>
                <w:u w:val="single"/>
              </w:rPr>
              <w:t xml:space="preserve">                              </w:t>
            </w:r>
            <w:r w:rsidRPr="005A7005">
              <w:rPr>
                <w:sz w:val="24"/>
              </w:rPr>
              <w:t xml:space="preserve">, </w:t>
            </w:r>
            <w:r>
              <w:rPr>
                <w:sz w:val="24"/>
              </w:rPr>
              <w:t xml:space="preserve">le </w:t>
            </w:r>
            <w:r w:rsidR="00C071BA">
              <w:rPr>
                <w:sz w:val="24"/>
              </w:rPr>
              <w:t xml:space="preserve">     /     / </w:t>
            </w:r>
          </w:p>
          <w:p w14:paraId="4A66E019" w14:textId="77777777" w:rsidR="003F43C0" w:rsidRPr="005A7005" w:rsidRDefault="003F43C0" w:rsidP="00EA6111">
            <w:pPr>
              <w:tabs>
                <w:tab w:val="left" w:pos="0"/>
                <w:tab w:val="left" w:pos="510"/>
                <w:tab w:val="left" w:pos="10977"/>
              </w:tabs>
              <w:jc w:val="both"/>
              <w:rPr>
                <w:sz w:val="24"/>
              </w:rPr>
            </w:pPr>
            <w:r w:rsidRPr="005A7005">
              <w:rPr>
                <w:sz w:val="24"/>
              </w:rPr>
              <w:t>signature:</w:t>
            </w:r>
          </w:p>
          <w:p w14:paraId="67AFF21A" w14:textId="77777777" w:rsidR="003F43C0" w:rsidRPr="005A7005" w:rsidRDefault="003F43C0" w:rsidP="00EA6111">
            <w:pPr>
              <w:tabs>
                <w:tab w:val="left" w:pos="0"/>
                <w:tab w:val="left" w:pos="510"/>
                <w:tab w:val="left" w:pos="10977"/>
              </w:tabs>
              <w:jc w:val="both"/>
              <w:rPr>
                <w:sz w:val="24"/>
              </w:rPr>
            </w:pPr>
          </w:p>
        </w:tc>
        <w:tc>
          <w:tcPr>
            <w:tcW w:w="4394" w:type="dxa"/>
          </w:tcPr>
          <w:p w14:paraId="63E7B32C" w14:textId="77777777" w:rsidR="006F1B51" w:rsidRDefault="006F1B51" w:rsidP="006F1B51">
            <w:pPr>
              <w:autoSpaceDE w:val="0"/>
              <w:autoSpaceDN w:val="0"/>
              <w:adjustRightInd w:val="0"/>
              <w:jc w:val="both"/>
              <w:rPr>
                <w:rFonts w:cs="Arial"/>
                <w:b/>
                <w:smallCaps/>
                <w:sz w:val="24"/>
                <w:u w:val="single"/>
              </w:rPr>
            </w:pPr>
            <w:r>
              <w:rPr>
                <w:rFonts w:cs="Arial"/>
                <w:b/>
                <w:smallCaps/>
                <w:sz w:val="24"/>
                <w:u w:val="single"/>
              </w:rPr>
              <w:t>Pour Expertise France :</w:t>
            </w:r>
          </w:p>
          <w:p w14:paraId="4AD1961F" w14:textId="77777777" w:rsidR="00F51215" w:rsidRPr="005A7005" w:rsidRDefault="00F51215" w:rsidP="00F51215">
            <w:pPr>
              <w:tabs>
                <w:tab w:val="left" w:pos="-142"/>
                <w:tab w:val="left" w:pos="0"/>
                <w:tab w:val="left" w:pos="10977"/>
              </w:tabs>
              <w:rPr>
                <w:i/>
                <w:sz w:val="24"/>
              </w:rPr>
            </w:pPr>
            <w:r w:rsidRPr="005A7005">
              <w:rPr>
                <w:i/>
                <w:sz w:val="24"/>
                <w:highlight w:val="green"/>
              </w:rPr>
              <w:t>nom de la société / nom / prénom / fonction</w:t>
            </w:r>
          </w:p>
          <w:p w14:paraId="6578F5C1" w14:textId="77777777" w:rsidR="003F43C0" w:rsidRPr="00B61DA4" w:rsidRDefault="003F43C0" w:rsidP="000C6D0A">
            <w:pPr>
              <w:tabs>
                <w:tab w:val="left" w:pos="0"/>
                <w:tab w:val="left" w:pos="510"/>
                <w:tab w:val="left" w:pos="10977"/>
              </w:tabs>
              <w:rPr>
                <w:b/>
                <w:sz w:val="24"/>
              </w:rPr>
            </w:pPr>
            <w:r w:rsidRPr="00B61DA4">
              <w:rPr>
                <w:sz w:val="24"/>
              </w:rPr>
              <w:t xml:space="preserve">Fait à Paris, le      /     / </w:t>
            </w:r>
          </w:p>
          <w:p w14:paraId="6C78ECCA" w14:textId="77777777" w:rsidR="003F43C0" w:rsidRPr="00B61DA4" w:rsidRDefault="003F43C0" w:rsidP="00EA6111">
            <w:pPr>
              <w:tabs>
                <w:tab w:val="left" w:pos="0"/>
                <w:tab w:val="left" w:pos="510"/>
                <w:tab w:val="left" w:pos="10977"/>
              </w:tabs>
              <w:jc w:val="both"/>
              <w:rPr>
                <w:sz w:val="24"/>
              </w:rPr>
            </w:pPr>
            <w:r w:rsidRPr="00B61DA4">
              <w:rPr>
                <w:sz w:val="24"/>
              </w:rPr>
              <w:t>signature:</w:t>
            </w:r>
          </w:p>
          <w:p w14:paraId="7620EF00" w14:textId="77777777" w:rsidR="003F43C0" w:rsidRPr="00B61DA4" w:rsidRDefault="003F43C0" w:rsidP="00EA6111">
            <w:pPr>
              <w:tabs>
                <w:tab w:val="left" w:pos="0"/>
                <w:tab w:val="left" w:pos="510"/>
                <w:tab w:val="left" w:pos="10977"/>
              </w:tabs>
              <w:jc w:val="both"/>
              <w:rPr>
                <w:sz w:val="24"/>
              </w:rPr>
            </w:pPr>
          </w:p>
        </w:tc>
      </w:tr>
    </w:tbl>
    <w:p w14:paraId="3CA0D4B5" w14:textId="77777777" w:rsidR="003F43C0" w:rsidRPr="00DB758F" w:rsidRDefault="003F43C0" w:rsidP="00396252">
      <w:pPr>
        <w:rPr>
          <w:sz w:val="24"/>
        </w:rPr>
      </w:pPr>
      <w:r w:rsidRPr="00B61DA4">
        <w:rPr>
          <w:sz w:val="24"/>
        </w:rPr>
        <w:t xml:space="preserve">Fait en un original </w:t>
      </w:r>
      <w:r>
        <w:rPr>
          <w:sz w:val="24"/>
        </w:rPr>
        <w:t>(</w:t>
      </w:r>
      <w:r w:rsidRPr="00B61DA4">
        <w:rPr>
          <w:sz w:val="24"/>
        </w:rPr>
        <w:t xml:space="preserve">conservé dans les archives d’Expertise </w:t>
      </w:r>
      <w:r>
        <w:rPr>
          <w:sz w:val="24"/>
        </w:rPr>
        <w:t>France)</w:t>
      </w:r>
      <w:r w:rsidRPr="00B61DA4">
        <w:rPr>
          <w:sz w:val="24"/>
        </w:rPr>
        <w:t>.</w:t>
      </w:r>
      <w:r w:rsidR="00396252" w:rsidRPr="00DB758F">
        <w:rPr>
          <w:sz w:val="24"/>
        </w:rPr>
        <w:t xml:space="preserve"> </w:t>
      </w:r>
    </w:p>
    <w:sectPr w:rsidR="003F43C0" w:rsidRPr="00DB758F" w:rsidSect="00FA726A">
      <w:headerReference w:type="default" r:id="rId36"/>
      <w:pgSz w:w="11906" w:h="16838"/>
      <w:pgMar w:top="1021" w:right="991" w:bottom="1021" w:left="158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B7F46" w14:textId="77777777" w:rsidR="00B900C6" w:rsidRDefault="00B900C6">
      <w:r>
        <w:separator/>
      </w:r>
    </w:p>
  </w:endnote>
  <w:endnote w:type="continuationSeparator" w:id="0">
    <w:p w14:paraId="558E9094" w14:textId="77777777" w:rsidR="00B900C6" w:rsidRDefault="00B90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C91" w14:textId="77777777" w:rsidR="00E07ACB" w:rsidRDefault="00E07ACB"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056E374C" w14:textId="77777777" w:rsidR="00E07ACB" w:rsidRDefault="00E07AC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9310838"/>
      <w:docPartObj>
        <w:docPartGallery w:val="Page Numbers (Bottom of Page)"/>
        <w:docPartUnique/>
      </w:docPartObj>
    </w:sdtPr>
    <w:sdtContent>
      <w:sdt>
        <w:sdtPr>
          <w:id w:val="-1544752873"/>
          <w:docPartObj>
            <w:docPartGallery w:val="Page Numbers (Top of Page)"/>
            <w:docPartUnique/>
          </w:docPartObj>
        </w:sdtPr>
        <w:sdtContent>
          <w:p w14:paraId="3D055BE8" w14:textId="65DE0662" w:rsidR="00E07ACB" w:rsidRDefault="00E07ACB">
            <w:pPr>
              <w:pStyle w:val="Pieddepage"/>
              <w:jc w:val="right"/>
            </w:pPr>
            <w:r>
              <w:t xml:space="preserve">Page </w:t>
            </w:r>
            <w:r>
              <w:rPr>
                <w:b/>
                <w:bCs/>
                <w:sz w:val="24"/>
              </w:rPr>
              <w:fldChar w:fldCharType="begin"/>
            </w:r>
            <w:r>
              <w:rPr>
                <w:b/>
                <w:bCs/>
              </w:rPr>
              <w:instrText>PAGE</w:instrText>
            </w:r>
            <w:r>
              <w:rPr>
                <w:b/>
                <w:bCs/>
                <w:sz w:val="24"/>
              </w:rPr>
              <w:fldChar w:fldCharType="separate"/>
            </w:r>
            <w:r w:rsidR="00164983">
              <w:rPr>
                <w:b/>
                <w:bCs/>
                <w:noProof/>
              </w:rPr>
              <w:t>47</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sidR="00164983">
              <w:rPr>
                <w:b/>
                <w:bCs/>
                <w:noProof/>
              </w:rPr>
              <w:t>47</w:t>
            </w:r>
            <w:r>
              <w:rPr>
                <w:b/>
                <w:bCs/>
                <w:sz w:val="24"/>
              </w:rPr>
              <w:fldChar w:fldCharType="end"/>
            </w:r>
          </w:p>
        </w:sdtContent>
      </w:sdt>
    </w:sdtContent>
  </w:sdt>
  <w:p w14:paraId="7BC1E6DE" w14:textId="77777777" w:rsidR="00E07ACB" w:rsidRDefault="00E07AC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294566"/>
      <w:docPartObj>
        <w:docPartGallery w:val="Page Numbers (Bottom of Page)"/>
        <w:docPartUnique/>
      </w:docPartObj>
    </w:sdtPr>
    <w:sdtContent>
      <w:sdt>
        <w:sdtPr>
          <w:id w:val="-1769616900"/>
          <w:docPartObj>
            <w:docPartGallery w:val="Page Numbers (Top of Page)"/>
            <w:docPartUnique/>
          </w:docPartObj>
        </w:sdtPr>
        <w:sdtContent>
          <w:p w14:paraId="3098E31B" w14:textId="5B9BAFAE" w:rsidR="00E07ACB" w:rsidRDefault="00E07ACB">
            <w:pPr>
              <w:pStyle w:val="Pieddepage"/>
              <w:jc w:val="right"/>
            </w:pPr>
            <w:r>
              <w:t xml:space="preserve">Page </w:t>
            </w:r>
            <w:r>
              <w:rPr>
                <w:b/>
                <w:bCs/>
                <w:sz w:val="24"/>
              </w:rPr>
              <w:fldChar w:fldCharType="begin"/>
            </w:r>
            <w:r>
              <w:rPr>
                <w:b/>
                <w:bCs/>
              </w:rPr>
              <w:instrText>PAGE</w:instrText>
            </w:r>
            <w:r>
              <w:rPr>
                <w:b/>
                <w:bCs/>
                <w:sz w:val="24"/>
              </w:rPr>
              <w:fldChar w:fldCharType="separate"/>
            </w:r>
            <w:r w:rsidR="00164983">
              <w:rPr>
                <w:b/>
                <w:bCs/>
                <w:noProof/>
              </w:rPr>
              <w:t>1</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sidR="00164983">
              <w:rPr>
                <w:b/>
                <w:bCs/>
                <w:noProof/>
              </w:rPr>
              <w:t>47</w:t>
            </w:r>
            <w:r>
              <w:rPr>
                <w:b/>
                <w:bCs/>
                <w:sz w:val="24"/>
              </w:rPr>
              <w:fldChar w:fldCharType="end"/>
            </w:r>
          </w:p>
        </w:sdtContent>
      </w:sdt>
    </w:sdtContent>
  </w:sdt>
  <w:p w14:paraId="2C3E50E8" w14:textId="4AF32177" w:rsidR="00E07ACB" w:rsidRPr="002339BE" w:rsidRDefault="00E07ACB" w:rsidP="002973F3">
    <w:pPr>
      <w:spacing w:before="0" w:beforeAutospacing="0" w:after="0" w:afterAutospacing="0"/>
      <w:rPr>
        <w:i/>
        <w:sz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579684"/>
      <w:docPartObj>
        <w:docPartGallery w:val="Page Numbers (Bottom of Page)"/>
        <w:docPartUnique/>
      </w:docPartObj>
    </w:sdtPr>
    <w:sdtContent>
      <w:sdt>
        <w:sdtPr>
          <w:id w:val="1311132913"/>
          <w:docPartObj>
            <w:docPartGallery w:val="Page Numbers (Top of Page)"/>
            <w:docPartUnique/>
          </w:docPartObj>
        </w:sdtPr>
        <w:sdtContent>
          <w:p w14:paraId="1048F5A3" w14:textId="23AE8976" w:rsidR="00E07ACB" w:rsidRDefault="00E07ACB">
            <w:pPr>
              <w:pStyle w:val="Pieddepage"/>
              <w:jc w:val="right"/>
            </w:pPr>
            <w:r>
              <w:t xml:space="preserve">Page </w:t>
            </w:r>
            <w:r>
              <w:rPr>
                <w:b/>
                <w:bCs/>
                <w:sz w:val="24"/>
              </w:rPr>
              <w:fldChar w:fldCharType="begin"/>
            </w:r>
            <w:r>
              <w:rPr>
                <w:b/>
                <w:bCs/>
              </w:rPr>
              <w:instrText>PAGE</w:instrText>
            </w:r>
            <w:r>
              <w:rPr>
                <w:b/>
                <w:bCs/>
                <w:sz w:val="24"/>
              </w:rPr>
              <w:fldChar w:fldCharType="separate"/>
            </w:r>
            <w:r w:rsidR="00164983">
              <w:rPr>
                <w:b/>
                <w:bCs/>
                <w:noProof/>
              </w:rPr>
              <w:t>44</w:t>
            </w:r>
            <w:r>
              <w:rPr>
                <w:b/>
                <w:bCs/>
                <w:sz w:val="24"/>
              </w:rPr>
              <w:fldChar w:fldCharType="end"/>
            </w:r>
            <w:r>
              <w:rPr>
                <w:b/>
                <w:bCs/>
                <w:noProof/>
              </w:rPr>
              <w:t xml:space="preserve"> </w:t>
            </w:r>
            <w:r>
              <w:t xml:space="preserve">sur </w:t>
            </w:r>
            <w:r>
              <w:rPr>
                <w:b/>
                <w:bCs/>
                <w:sz w:val="24"/>
              </w:rPr>
              <w:fldChar w:fldCharType="begin"/>
            </w:r>
            <w:r>
              <w:rPr>
                <w:b/>
                <w:bCs/>
              </w:rPr>
              <w:instrText>NUMPAGES</w:instrText>
            </w:r>
            <w:r>
              <w:rPr>
                <w:b/>
                <w:bCs/>
                <w:sz w:val="24"/>
              </w:rPr>
              <w:fldChar w:fldCharType="separate"/>
            </w:r>
            <w:r w:rsidR="00164983">
              <w:rPr>
                <w:b/>
                <w:bCs/>
                <w:noProof/>
              </w:rPr>
              <w:t>47</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99FD7" w14:textId="77777777" w:rsidR="00B900C6" w:rsidRDefault="00B900C6">
      <w:r>
        <w:separator/>
      </w:r>
    </w:p>
  </w:footnote>
  <w:footnote w:type="continuationSeparator" w:id="0">
    <w:p w14:paraId="6677655D" w14:textId="77777777" w:rsidR="00B900C6" w:rsidRDefault="00B900C6">
      <w:r>
        <w:continuationSeparator/>
      </w:r>
    </w:p>
  </w:footnote>
  <w:footnote w:id="1">
    <w:p w14:paraId="5F409CCB" w14:textId="77777777" w:rsidR="00E07ACB" w:rsidRPr="00096401" w:rsidRDefault="00E07ACB"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4CCC066A" w14:textId="77777777" w:rsidR="00E07ACB" w:rsidRPr="00A222DB" w:rsidRDefault="00E07ACB"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4A1EF536" w14:textId="77777777" w:rsidR="00E07ACB" w:rsidRPr="00096401" w:rsidRDefault="00E07ACB"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20B1F741" w14:textId="77777777" w:rsidR="00E07ACB" w:rsidRPr="00A222DB" w:rsidRDefault="00E07ACB"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6673BE6" w14:textId="77777777" w:rsidR="00E07ACB" w:rsidRPr="00A222DB" w:rsidRDefault="00E07ACB"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2171C4BE" w14:textId="77777777" w:rsidR="00E07ACB" w:rsidRPr="00A222DB" w:rsidRDefault="00E07ACB" w:rsidP="00AC78D7">
      <w:pPr>
        <w:pStyle w:val="Notedebasdepage"/>
      </w:pPr>
      <w:r w:rsidRPr="00096401">
        <w:rPr>
          <w:rStyle w:val="Appelnotedebasdep"/>
          <w:sz w:val="16"/>
        </w:rPr>
        <w:footnoteRef/>
      </w:r>
      <w:r w:rsidRPr="00096401">
        <w:rPr>
          <w:sz w:val="16"/>
        </w:rPr>
        <w:t xml:space="preserve"> </w:t>
      </w:r>
      <w:r w:rsidRPr="00096401">
        <w:rPr>
          <w:sz w:val="16"/>
        </w:rPr>
        <w:tab/>
        <w:t xml:space="preserve">Il est fortement recommandé de prévoir un prix global incluant toutes les parties des services, de sorte que cette option doit être supprimée, sauf dans des cas exceptionnels. En principe, en cas de remboursement de frais, les modalités doivent être définies dans le contrat-cadre et non pas dans le bon de commande ou le </w:t>
      </w:r>
      <w:r>
        <w:rPr>
          <w:sz w:val="16"/>
        </w:rPr>
        <w:t>marché subséquent</w:t>
      </w:r>
      <w:r w:rsidRPr="00096401">
        <w:rPr>
          <w:sz w:val="16"/>
        </w:rPr>
        <w:t>.</w:t>
      </w:r>
    </w:p>
  </w:footnote>
  <w:footnote w:id="7">
    <w:p w14:paraId="24956CDD" w14:textId="77777777" w:rsidR="00E07ACB" w:rsidRPr="00A222DB" w:rsidRDefault="00E07ACB"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en revanche, une clause portant sur le règlement du solde doit toujours être prévue.</w:t>
      </w:r>
    </w:p>
  </w:footnote>
  <w:footnote w:id="8">
    <w:p w14:paraId="137E2AD6" w14:textId="77777777" w:rsidR="00E07ACB" w:rsidRPr="00096401" w:rsidRDefault="00E07ACB" w:rsidP="00487D5D">
      <w:pPr>
        <w:pStyle w:val="Notedebasdepage"/>
        <w:rPr>
          <w:sz w:val="16"/>
          <w:szCs w:val="16"/>
        </w:rPr>
      </w:pPr>
      <w:r w:rsidRPr="00A222DB">
        <w:rPr>
          <w:rStyle w:val="Appelnotedebasdep"/>
        </w:rPr>
        <w:footnoteRef/>
      </w:r>
      <w:r w:rsidRPr="00A222DB">
        <w:t xml:space="preserve"> </w:t>
      </w:r>
      <w:r w:rsidRPr="00A222DB">
        <w:tab/>
      </w:r>
      <w:r w:rsidRPr="00096401">
        <w:rPr>
          <w:sz w:val="16"/>
          <w:szCs w:val="16"/>
        </w:rPr>
        <w:t xml:space="preserve">Le préfinancement doit être </w:t>
      </w:r>
      <w:r w:rsidRPr="00096401">
        <w:rPr>
          <w:sz w:val="16"/>
          <w:szCs w:val="16"/>
          <w:u w:val="single"/>
        </w:rPr>
        <w:t>exceptionnel</w:t>
      </w:r>
      <w:r w:rsidRPr="00096401">
        <w:rPr>
          <w:sz w:val="16"/>
          <w:szCs w:val="16"/>
        </w:rPr>
        <w:t xml:space="preserve"> dans les marchés publics. S'il est appliqué, il ne dépassera pas 30 % du montant total du bon de commande ou du </w:t>
      </w:r>
      <w:r>
        <w:rPr>
          <w:sz w:val="16"/>
          <w:szCs w:val="16"/>
        </w:rPr>
        <w:t>marché subséquent</w:t>
      </w:r>
      <w:r w:rsidRPr="00096401">
        <w:rPr>
          <w:sz w:val="16"/>
          <w:szCs w:val="16"/>
        </w:rPr>
        <w:t xml:space="preserve">. </w:t>
      </w:r>
    </w:p>
  </w:footnote>
  <w:footnote w:id="9">
    <w:p w14:paraId="6A3E1155" w14:textId="77777777" w:rsidR="00E07ACB" w:rsidRPr="00A222DB" w:rsidRDefault="00E07ACB"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10">
    <w:p w14:paraId="6A2BCF8E" w14:textId="77777777" w:rsidR="00E07ACB" w:rsidRPr="00740822" w:rsidRDefault="00E07ACB"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1">
    <w:p w14:paraId="2DC66715" w14:textId="77777777" w:rsidR="00E07ACB" w:rsidRPr="00740822" w:rsidRDefault="00E07ACB"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 w:id="12">
    <w:p w14:paraId="2F6D6B12" w14:textId="77777777" w:rsidR="00E07ACB" w:rsidRPr="00096401" w:rsidRDefault="00E07ACB" w:rsidP="00031F34">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13">
    <w:p w14:paraId="13B14E3C" w14:textId="77777777" w:rsidR="00E07ACB" w:rsidRPr="00CF59B5" w:rsidRDefault="00E07ACB" w:rsidP="00393A80">
      <w:pPr>
        <w:pStyle w:val="Notedebasdepage"/>
        <w:spacing w:line="80" w:lineRule="atLeast"/>
        <w:ind w:left="284" w:hanging="284"/>
        <w:rPr>
          <w:sz w:val="16"/>
        </w:rPr>
      </w:pPr>
      <w:r w:rsidRPr="00CF59B5">
        <w:rPr>
          <w:rStyle w:val="Appelnotedebasdep"/>
          <w:sz w:val="16"/>
        </w:rPr>
        <w:footnoteRef/>
      </w:r>
      <w:r w:rsidRPr="00CF59B5">
        <w:rPr>
          <w:sz w:val="16"/>
        </w:rPr>
        <w:tab/>
        <w:t>Ajouter le numéro en cas de contrat-cadre multiple avec remise en concurrence.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4D4E9" w14:textId="77777777" w:rsidR="00E07ACB" w:rsidRDefault="00E07ACB"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77BEE7" wp14:editId="16E35EF7">
          <wp:extent cx="1501076" cy="767216"/>
          <wp:effectExtent l="0" t="0" r="444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105899A8" w14:textId="77777777" w:rsidR="00E07ACB" w:rsidRPr="00BA396D" w:rsidRDefault="00E07ACB"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6877B" w14:textId="77777777" w:rsidR="00E07ACB" w:rsidRDefault="00E07ACB" w:rsidP="006E44C4">
    <w:pPr>
      <w:pStyle w:val="En-tte"/>
      <w:tabs>
        <w:tab w:val="clear" w:pos="4153"/>
        <w:tab w:val="clear" w:pos="8306"/>
        <w:tab w:val="right" w:pos="8647"/>
      </w:tabs>
      <w:rPr>
        <w:smallCaps/>
      </w:rPr>
    </w:pPr>
    <w:r>
      <w:rPr>
        <w:noProof/>
      </w:rPr>
      <w:drawing>
        <wp:inline distT="0" distB="0" distL="0" distR="0" wp14:anchorId="2BBEE24E" wp14:editId="54FC8321">
          <wp:extent cx="2215169" cy="1132197"/>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CE6ED" w14:textId="77777777" w:rsidR="00E07ACB" w:rsidRDefault="00E07ACB"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63F7D0D" wp14:editId="7CAD436C">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50840244" w14:textId="77777777" w:rsidR="00E07ACB" w:rsidRPr="00F61D0C" w:rsidRDefault="00E07ACB" w:rsidP="00CF59B5">
    <w:pPr>
      <w:pStyle w:val="En-tte"/>
      <w:tabs>
        <w:tab w:val="clear" w:pos="4153"/>
        <w:tab w:val="clear" w:pos="8306"/>
        <w:tab w:val="right" w:pos="9327"/>
      </w:tabs>
      <w:spacing w:before="0" w:beforeAutospacing="0" w:after="0" w:afterAutospacing="0"/>
      <w:rPr>
        <w:b/>
        <w:u w:val="single"/>
      </w:rPr>
    </w:pPr>
    <w:r w:rsidRPr="001B4E81">
      <w:rPr>
        <w:b/>
        <w:smallCaps/>
        <w:sz w:val="18"/>
      </w:rPr>
      <w:t>°</w:t>
    </w:r>
    <w:r w:rsidRPr="00F61D0C">
      <w:rPr>
        <w:b/>
        <w:u w:val="single"/>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C5BD4" w14:textId="77777777" w:rsidR="00E07ACB" w:rsidRDefault="00E07ACB"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E006F10" wp14:editId="11B170C9">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AABC35D" w14:textId="77777777" w:rsidR="00E07ACB" w:rsidRPr="00F61D0C" w:rsidRDefault="00E07ACB" w:rsidP="00F61D0C">
    <w:pPr>
      <w:pStyle w:val="En-tte"/>
      <w:tabs>
        <w:tab w:val="clear" w:pos="4153"/>
        <w:tab w:val="clear" w:pos="8306"/>
        <w:tab w:val="right" w:pos="8647"/>
      </w:tabs>
      <w:rPr>
        <w:b/>
        <w:u w:val="single"/>
      </w:rPr>
    </w:pPr>
    <w:r w:rsidRPr="00E27E5C">
      <w:rPr>
        <w:b/>
        <w:smallCaps/>
        <w:u w:val="single"/>
      </w:rPr>
      <w:t>C</w:t>
    </w:r>
    <w:r>
      <w:rPr>
        <w:b/>
        <w:smallCaps/>
        <w:u w:val="single"/>
      </w:rPr>
      <w:t>onditions générales des contrats-cadres de service</w:t>
    </w:r>
    <w:r w:rsidRPr="00F61D0C">
      <w:rPr>
        <w:b/>
        <w:u w:val="single"/>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07372" w14:textId="77777777" w:rsidR="00E07ACB" w:rsidRPr="00FD0082" w:rsidRDefault="00E07ACB"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D42F93"/>
    <w:multiLevelType w:val="hybridMultilevel"/>
    <w:tmpl w:val="2AA67674"/>
    <w:lvl w:ilvl="0" w:tplc="D8CA5A82">
      <w:start w:val="1"/>
      <w:numFmt w:val="bullet"/>
      <w:lvlText w:val=""/>
      <w:lvlJc w:val="left"/>
      <w:pPr>
        <w:ind w:left="720" w:hanging="360"/>
      </w:pPr>
      <w:rPr>
        <w:rFonts w:ascii="Symbol" w:hAnsi="Symbol" w:hint="default"/>
        <w:sz w:val="10"/>
        <w:szCs w:val="1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6C5AE8"/>
    <w:multiLevelType w:val="multilevel"/>
    <w:tmpl w:val="63368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114B6E"/>
    <w:multiLevelType w:val="hybridMultilevel"/>
    <w:tmpl w:val="9FE80E2C"/>
    <w:lvl w:ilvl="0" w:tplc="2BF6F7D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5772C2"/>
    <w:multiLevelType w:val="hybridMultilevel"/>
    <w:tmpl w:val="95E4B378"/>
    <w:lvl w:ilvl="0" w:tplc="2BF6F7D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0" w15:restartNumberingAfterBreak="0">
    <w:nsid w:val="2EC32388"/>
    <w:multiLevelType w:val="hybridMultilevel"/>
    <w:tmpl w:val="8ABA9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B316511"/>
    <w:multiLevelType w:val="hybridMultilevel"/>
    <w:tmpl w:val="8CDA040E"/>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C2C4392"/>
    <w:multiLevelType w:val="hybridMultilevel"/>
    <w:tmpl w:val="E1449A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05A257B"/>
    <w:multiLevelType w:val="multilevel"/>
    <w:tmpl w:val="0CE87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0251A2A"/>
    <w:multiLevelType w:val="multilevel"/>
    <w:tmpl w:val="D606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6391F"/>
    <w:multiLevelType w:val="hybridMultilevel"/>
    <w:tmpl w:val="16283972"/>
    <w:lvl w:ilvl="0" w:tplc="2BF6F7D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597C7E"/>
    <w:multiLevelType w:val="hybridMultilevel"/>
    <w:tmpl w:val="8046A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6"/>
  </w:num>
  <w:num w:numId="4">
    <w:abstractNumId w:val="8"/>
  </w:num>
  <w:num w:numId="5">
    <w:abstractNumId w:val="14"/>
  </w:num>
  <w:num w:numId="6">
    <w:abstractNumId w:val="9"/>
  </w:num>
  <w:num w:numId="7">
    <w:abstractNumId w:val="1"/>
  </w:num>
  <w:num w:numId="8">
    <w:abstractNumId w:val="0"/>
  </w:num>
  <w:num w:numId="9">
    <w:abstractNumId w:val="18"/>
  </w:num>
  <w:num w:numId="10">
    <w:abstractNumId w:val="7"/>
  </w:num>
  <w:num w:numId="11">
    <w:abstractNumId w:val="20"/>
  </w:num>
  <w:num w:numId="12">
    <w:abstractNumId w:val="11"/>
  </w:num>
  <w:num w:numId="13">
    <w:abstractNumId w:val="23"/>
  </w:num>
  <w:num w:numId="14">
    <w:abstractNumId w:val="13"/>
  </w:num>
  <w:num w:numId="15">
    <w:abstractNumId w:val="2"/>
  </w:num>
  <w:num w:numId="16">
    <w:abstractNumId w:val="3"/>
  </w:num>
  <w:num w:numId="17">
    <w:abstractNumId w:val="19"/>
  </w:num>
  <w:num w:numId="18">
    <w:abstractNumId w:val="21"/>
  </w:num>
  <w:num w:numId="19">
    <w:abstractNumId w:val="24"/>
  </w:num>
  <w:num w:numId="20">
    <w:abstractNumId w:val="15"/>
  </w:num>
  <w:num w:numId="21">
    <w:abstractNumId w:val="4"/>
  </w:num>
  <w:num w:numId="22">
    <w:abstractNumId w:val="10"/>
  </w:num>
  <w:num w:numId="23">
    <w:abstractNumId w:val="22"/>
  </w:num>
  <w:num w:numId="24">
    <w:abstractNumId w:val="5"/>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3466BF"/>
    <w:rsid w:val="0000154A"/>
    <w:rsid w:val="00002203"/>
    <w:rsid w:val="0000263C"/>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B05F0"/>
    <w:rsid w:val="000B12BC"/>
    <w:rsid w:val="000B14B2"/>
    <w:rsid w:val="000B2569"/>
    <w:rsid w:val="000B34C4"/>
    <w:rsid w:val="000B39A0"/>
    <w:rsid w:val="000B3A30"/>
    <w:rsid w:val="000B3F5B"/>
    <w:rsid w:val="000B443A"/>
    <w:rsid w:val="000B4DD7"/>
    <w:rsid w:val="000B56AA"/>
    <w:rsid w:val="000B6303"/>
    <w:rsid w:val="000B6F5B"/>
    <w:rsid w:val="000B750E"/>
    <w:rsid w:val="000B79B8"/>
    <w:rsid w:val="000C0137"/>
    <w:rsid w:val="000C112C"/>
    <w:rsid w:val="000C11D0"/>
    <w:rsid w:val="000C16B6"/>
    <w:rsid w:val="000C25F6"/>
    <w:rsid w:val="000C3A4A"/>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78"/>
    <w:rsid w:val="000F2BD5"/>
    <w:rsid w:val="000F382F"/>
    <w:rsid w:val="000F54BF"/>
    <w:rsid w:val="000F56B7"/>
    <w:rsid w:val="000F6383"/>
    <w:rsid w:val="000F6DE0"/>
    <w:rsid w:val="00100468"/>
    <w:rsid w:val="00102BC3"/>
    <w:rsid w:val="00103036"/>
    <w:rsid w:val="001036E5"/>
    <w:rsid w:val="00103AA1"/>
    <w:rsid w:val="0010497E"/>
    <w:rsid w:val="00106616"/>
    <w:rsid w:val="0011197F"/>
    <w:rsid w:val="00111E22"/>
    <w:rsid w:val="0011268F"/>
    <w:rsid w:val="001128E5"/>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0E40"/>
    <w:rsid w:val="00132919"/>
    <w:rsid w:val="00133D6B"/>
    <w:rsid w:val="00133D90"/>
    <w:rsid w:val="00133F88"/>
    <w:rsid w:val="00133FD6"/>
    <w:rsid w:val="0013425A"/>
    <w:rsid w:val="00134BC6"/>
    <w:rsid w:val="00134CA5"/>
    <w:rsid w:val="00137A22"/>
    <w:rsid w:val="00140D45"/>
    <w:rsid w:val="00141BF3"/>
    <w:rsid w:val="00142D17"/>
    <w:rsid w:val="00145A42"/>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4983"/>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33"/>
    <w:rsid w:val="001769F7"/>
    <w:rsid w:val="00176D1B"/>
    <w:rsid w:val="001777E4"/>
    <w:rsid w:val="00180682"/>
    <w:rsid w:val="00180715"/>
    <w:rsid w:val="00180F28"/>
    <w:rsid w:val="001817E4"/>
    <w:rsid w:val="00181CF3"/>
    <w:rsid w:val="00181E92"/>
    <w:rsid w:val="00182592"/>
    <w:rsid w:val="00182E5F"/>
    <w:rsid w:val="00183B71"/>
    <w:rsid w:val="00185DD9"/>
    <w:rsid w:val="001867CD"/>
    <w:rsid w:val="001869E4"/>
    <w:rsid w:val="00190CD8"/>
    <w:rsid w:val="0019530D"/>
    <w:rsid w:val="001962EB"/>
    <w:rsid w:val="00197579"/>
    <w:rsid w:val="0019775F"/>
    <w:rsid w:val="001A0100"/>
    <w:rsid w:val="001A2DB2"/>
    <w:rsid w:val="001A2FD5"/>
    <w:rsid w:val="001A45CF"/>
    <w:rsid w:val="001A5CF1"/>
    <w:rsid w:val="001A5FA8"/>
    <w:rsid w:val="001A6D07"/>
    <w:rsid w:val="001A7337"/>
    <w:rsid w:val="001A7908"/>
    <w:rsid w:val="001A7F51"/>
    <w:rsid w:val="001B047B"/>
    <w:rsid w:val="001B0BEC"/>
    <w:rsid w:val="001B12C1"/>
    <w:rsid w:val="001B153A"/>
    <w:rsid w:val="001B153E"/>
    <w:rsid w:val="001B20AD"/>
    <w:rsid w:val="001B2A22"/>
    <w:rsid w:val="001B2E87"/>
    <w:rsid w:val="001B3C9D"/>
    <w:rsid w:val="001B45EF"/>
    <w:rsid w:val="001B4E81"/>
    <w:rsid w:val="001B5206"/>
    <w:rsid w:val="001B5D78"/>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1CF4"/>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321"/>
    <w:rsid w:val="001F399C"/>
    <w:rsid w:val="001F3EDA"/>
    <w:rsid w:val="001F49B8"/>
    <w:rsid w:val="001F5B17"/>
    <w:rsid w:val="001F6E44"/>
    <w:rsid w:val="001F7D99"/>
    <w:rsid w:val="002001F7"/>
    <w:rsid w:val="0020030D"/>
    <w:rsid w:val="00201051"/>
    <w:rsid w:val="00202449"/>
    <w:rsid w:val="00202A39"/>
    <w:rsid w:val="00203DDA"/>
    <w:rsid w:val="00204C24"/>
    <w:rsid w:val="002051A8"/>
    <w:rsid w:val="00205D49"/>
    <w:rsid w:val="002064CD"/>
    <w:rsid w:val="002068A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B2"/>
    <w:rsid w:val="00252ADC"/>
    <w:rsid w:val="00254AF4"/>
    <w:rsid w:val="00255672"/>
    <w:rsid w:val="00257369"/>
    <w:rsid w:val="002575DA"/>
    <w:rsid w:val="002578E3"/>
    <w:rsid w:val="00257DA7"/>
    <w:rsid w:val="00261C6A"/>
    <w:rsid w:val="00261EAE"/>
    <w:rsid w:val="00262204"/>
    <w:rsid w:val="002629AA"/>
    <w:rsid w:val="0026434A"/>
    <w:rsid w:val="00264DE3"/>
    <w:rsid w:val="00266310"/>
    <w:rsid w:val="00266568"/>
    <w:rsid w:val="00266A9F"/>
    <w:rsid w:val="00266F9B"/>
    <w:rsid w:val="00267EC1"/>
    <w:rsid w:val="00270CD8"/>
    <w:rsid w:val="00273375"/>
    <w:rsid w:val="002739B1"/>
    <w:rsid w:val="00273F95"/>
    <w:rsid w:val="00274BA0"/>
    <w:rsid w:val="00274CEC"/>
    <w:rsid w:val="002753BD"/>
    <w:rsid w:val="002756D6"/>
    <w:rsid w:val="00275A98"/>
    <w:rsid w:val="00276634"/>
    <w:rsid w:val="00280ACE"/>
    <w:rsid w:val="00280E59"/>
    <w:rsid w:val="00281EBD"/>
    <w:rsid w:val="00282722"/>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13"/>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B6C"/>
    <w:rsid w:val="002E7C8D"/>
    <w:rsid w:val="002F0692"/>
    <w:rsid w:val="002F0EA3"/>
    <w:rsid w:val="002F105E"/>
    <w:rsid w:val="002F22F1"/>
    <w:rsid w:val="002F3611"/>
    <w:rsid w:val="002F4372"/>
    <w:rsid w:val="002F443D"/>
    <w:rsid w:val="002F46E3"/>
    <w:rsid w:val="002F57D2"/>
    <w:rsid w:val="002F6999"/>
    <w:rsid w:val="002F77A3"/>
    <w:rsid w:val="002F797A"/>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BEF"/>
    <w:rsid w:val="00317F7A"/>
    <w:rsid w:val="00320062"/>
    <w:rsid w:val="00321107"/>
    <w:rsid w:val="003218EA"/>
    <w:rsid w:val="00321A7D"/>
    <w:rsid w:val="00322073"/>
    <w:rsid w:val="00322D78"/>
    <w:rsid w:val="00322DCB"/>
    <w:rsid w:val="0032325E"/>
    <w:rsid w:val="003237B3"/>
    <w:rsid w:val="00323A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5D42"/>
    <w:rsid w:val="003466BF"/>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3E0D"/>
    <w:rsid w:val="00365E2A"/>
    <w:rsid w:val="00366060"/>
    <w:rsid w:val="003668AE"/>
    <w:rsid w:val="00366D4A"/>
    <w:rsid w:val="003676EF"/>
    <w:rsid w:val="00370490"/>
    <w:rsid w:val="00370C44"/>
    <w:rsid w:val="0037158E"/>
    <w:rsid w:val="00371A1E"/>
    <w:rsid w:val="00371EB2"/>
    <w:rsid w:val="00372111"/>
    <w:rsid w:val="00372905"/>
    <w:rsid w:val="003730BC"/>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4C78"/>
    <w:rsid w:val="00396252"/>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05F6"/>
    <w:rsid w:val="003E221E"/>
    <w:rsid w:val="003E435A"/>
    <w:rsid w:val="003E6A7E"/>
    <w:rsid w:val="003E7914"/>
    <w:rsid w:val="003F1091"/>
    <w:rsid w:val="003F242D"/>
    <w:rsid w:val="003F32A9"/>
    <w:rsid w:val="003F3710"/>
    <w:rsid w:val="003F3FAE"/>
    <w:rsid w:val="003F4006"/>
    <w:rsid w:val="003F43C0"/>
    <w:rsid w:val="003F5272"/>
    <w:rsid w:val="003F57E3"/>
    <w:rsid w:val="003F7452"/>
    <w:rsid w:val="00402AC2"/>
    <w:rsid w:val="00402BCF"/>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1E24"/>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6B6"/>
    <w:rsid w:val="00465A88"/>
    <w:rsid w:val="0046616F"/>
    <w:rsid w:val="00470A4F"/>
    <w:rsid w:val="0047144D"/>
    <w:rsid w:val="004716B0"/>
    <w:rsid w:val="00472817"/>
    <w:rsid w:val="00473A94"/>
    <w:rsid w:val="00473F72"/>
    <w:rsid w:val="00474980"/>
    <w:rsid w:val="00474CC3"/>
    <w:rsid w:val="004767B8"/>
    <w:rsid w:val="00477C3F"/>
    <w:rsid w:val="00480059"/>
    <w:rsid w:val="004803CC"/>
    <w:rsid w:val="00480EA6"/>
    <w:rsid w:val="0048443C"/>
    <w:rsid w:val="0048459F"/>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C79E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3DF4"/>
    <w:rsid w:val="00504674"/>
    <w:rsid w:val="00504FDD"/>
    <w:rsid w:val="00505973"/>
    <w:rsid w:val="00506A53"/>
    <w:rsid w:val="00507394"/>
    <w:rsid w:val="00507A23"/>
    <w:rsid w:val="00510A60"/>
    <w:rsid w:val="00510ACA"/>
    <w:rsid w:val="005117EA"/>
    <w:rsid w:val="00511F7A"/>
    <w:rsid w:val="005121D0"/>
    <w:rsid w:val="005138DF"/>
    <w:rsid w:val="00513EA1"/>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588"/>
    <w:rsid w:val="00531EAB"/>
    <w:rsid w:val="00534EA5"/>
    <w:rsid w:val="00536B80"/>
    <w:rsid w:val="0053745E"/>
    <w:rsid w:val="0053774D"/>
    <w:rsid w:val="00540FDE"/>
    <w:rsid w:val="00542BAB"/>
    <w:rsid w:val="00542D7B"/>
    <w:rsid w:val="005430E0"/>
    <w:rsid w:val="0054392B"/>
    <w:rsid w:val="00543FBE"/>
    <w:rsid w:val="00546107"/>
    <w:rsid w:val="00546974"/>
    <w:rsid w:val="00546EC5"/>
    <w:rsid w:val="00550190"/>
    <w:rsid w:val="005501F0"/>
    <w:rsid w:val="00550430"/>
    <w:rsid w:val="00550701"/>
    <w:rsid w:val="00550D8F"/>
    <w:rsid w:val="0055215E"/>
    <w:rsid w:val="0055235E"/>
    <w:rsid w:val="00552CC7"/>
    <w:rsid w:val="005531F7"/>
    <w:rsid w:val="00555059"/>
    <w:rsid w:val="00555311"/>
    <w:rsid w:val="0055559F"/>
    <w:rsid w:val="00556365"/>
    <w:rsid w:val="005565DA"/>
    <w:rsid w:val="00557196"/>
    <w:rsid w:val="005579DD"/>
    <w:rsid w:val="005604FE"/>
    <w:rsid w:val="005607EC"/>
    <w:rsid w:val="00561358"/>
    <w:rsid w:val="005623F6"/>
    <w:rsid w:val="00562C10"/>
    <w:rsid w:val="0056414C"/>
    <w:rsid w:val="005658C5"/>
    <w:rsid w:val="00565C35"/>
    <w:rsid w:val="00565CB2"/>
    <w:rsid w:val="00566039"/>
    <w:rsid w:val="00566DE8"/>
    <w:rsid w:val="00567DC0"/>
    <w:rsid w:val="0057047C"/>
    <w:rsid w:val="005710D0"/>
    <w:rsid w:val="00571819"/>
    <w:rsid w:val="00571D0E"/>
    <w:rsid w:val="00571E39"/>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1C23"/>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466C8"/>
    <w:rsid w:val="00654CE3"/>
    <w:rsid w:val="006552F3"/>
    <w:rsid w:val="0065530A"/>
    <w:rsid w:val="0065563E"/>
    <w:rsid w:val="0065635C"/>
    <w:rsid w:val="00657196"/>
    <w:rsid w:val="00657716"/>
    <w:rsid w:val="0066017C"/>
    <w:rsid w:val="00660376"/>
    <w:rsid w:val="0066189E"/>
    <w:rsid w:val="006623D9"/>
    <w:rsid w:val="006645A3"/>
    <w:rsid w:val="00664EFB"/>
    <w:rsid w:val="006651A1"/>
    <w:rsid w:val="0066534A"/>
    <w:rsid w:val="0066564D"/>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2E56"/>
    <w:rsid w:val="0069364F"/>
    <w:rsid w:val="00695734"/>
    <w:rsid w:val="00695F72"/>
    <w:rsid w:val="00696819"/>
    <w:rsid w:val="006A008B"/>
    <w:rsid w:val="006A087C"/>
    <w:rsid w:val="006A130C"/>
    <w:rsid w:val="006A1963"/>
    <w:rsid w:val="006A1E00"/>
    <w:rsid w:val="006A21A1"/>
    <w:rsid w:val="006A2720"/>
    <w:rsid w:val="006A2FAD"/>
    <w:rsid w:val="006A4A61"/>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2F01"/>
    <w:rsid w:val="006D4F0C"/>
    <w:rsid w:val="006D52A9"/>
    <w:rsid w:val="006D5A1A"/>
    <w:rsid w:val="006D6834"/>
    <w:rsid w:val="006D690F"/>
    <w:rsid w:val="006D6F2C"/>
    <w:rsid w:val="006E04D9"/>
    <w:rsid w:val="006E05B9"/>
    <w:rsid w:val="006E0666"/>
    <w:rsid w:val="006E0935"/>
    <w:rsid w:val="006E1DD8"/>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722"/>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4DEA"/>
    <w:rsid w:val="00727CB5"/>
    <w:rsid w:val="00730057"/>
    <w:rsid w:val="007316EC"/>
    <w:rsid w:val="007318AF"/>
    <w:rsid w:val="00732637"/>
    <w:rsid w:val="00734109"/>
    <w:rsid w:val="00734145"/>
    <w:rsid w:val="0073426D"/>
    <w:rsid w:val="00736974"/>
    <w:rsid w:val="00736FBD"/>
    <w:rsid w:val="00740822"/>
    <w:rsid w:val="00742AEC"/>
    <w:rsid w:val="00745209"/>
    <w:rsid w:val="007455EC"/>
    <w:rsid w:val="00746D4F"/>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295"/>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000C"/>
    <w:rsid w:val="00780589"/>
    <w:rsid w:val="007810DD"/>
    <w:rsid w:val="007812F5"/>
    <w:rsid w:val="0078142E"/>
    <w:rsid w:val="00782002"/>
    <w:rsid w:val="0078621C"/>
    <w:rsid w:val="007867A7"/>
    <w:rsid w:val="00787CC7"/>
    <w:rsid w:val="00791FBC"/>
    <w:rsid w:val="00792D94"/>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08BC"/>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154"/>
    <w:rsid w:val="00817755"/>
    <w:rsid w:val="00820888"/>
    <w:rsid w:val="00820B0D"/>
    <w:rsid w:val="0082118F"/>
    <w:rsid w:val="00821610"/>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6C28"/>
    <w:rsid w:val="00837DF1"/>
    <w:rsid w:val="00845A58"/>
    <w:rsid w:val="00846130"/>
    <w:rsid w:val="008468B3"/>
    <w:rsid w:val="00847663"/>
    <w:rsid w:val="00852084"/>
    <w:rsid w:val="00852258"/>
    <w:rsid w:val="0085297C"/>
    <w:rsid w:val="00853140"/>
    <w:rsid w:val="008547AE"/>
    <w:rsid w:val="0085584C"/>
    <w:rsid w:val="008559FF"/>
    <w:rsid w:val="00855C8D"/>
    <w:rsid w:val="00855D2B"/>
    <w:rsid w:val="00856228"/>
    <w:rsid w:val="0085635D"/>
    <w:rsid w:val="008568BB"/>
    <w:rsid w:val="00856A83"/>
    <w:rsid w:val="00856CBF"/>
    <w:rsid w:val="00856CEE"/>
    <w:rsid w:val="00857ACC"/>
    <w:rsid w:val="00860F96"/>
    <w:rsid w:val="00861D51"/>
    <w:rsid w:val="00862044"/>
    <w:rsid w:val="00862D3F"/>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5E85"/>
    <w:rsid w:val="008869F7"/>
    <w:rsid w:val="008877F9"/>
    <w:rsid w:val="00891BB1"/>
    <w:rsid w:val="00891DB2"/>
    <w:rsid w:val="00892FA9"/>
    <w:rsid w:val="00893306"/>
    <w:rsid w:val="00893ECD"/>
    <w:rsid w:val="00893FF5"/>
    <w:rsid w:val="00894EFD"/>
    <w:rsid w:val="00896426"/>
    <w:rsid w:val="00896C3E"/>
    <w:rsid w:val="00896FC4"/>
    <w:rsid w:val="00897C87"/>
    <w:rsid w:val="00897CDD"/>
    <w:rsid w:val="008A063F"/>
    <w:rsid w:val="008A3437"/>
    <w:rsid w:val="008A3A32"/>
    <w:rsid w:val="008A7BEC"/>
    <w:rsid w:val="008B01B2"/>
    <w:rsid w:val="008B0511"/>
    <w:rsid w:val="008B111D"/>
    <w:rsid w:val="008B1A3A"/>
    <w:rsid w:val="008B2541"/>
    <w:rsid w:val="008B2C9F"/>
    <w:rsid w:val="008B2F14"/>
    <w:rsid w:val="008B3824"/>
    <w:rsid w:val="008B7BD0"/>
    <w:rsid w:val="008B7D26"/>
    <w:rsid w:val="008C0885"/>
    <w:rsid w:val="008C28C6"/>
    <w:rsid w:val="008C4CFF"/>
    <w:rsid w:val="008C534B"/>
    <w:rsid w:val="008C5E1E"/>
    <w:rsid w:val="008C6152"/>
    <w:rsid w:val="008C71FA"/>
    <w:rsid w:val="008D112D"/>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7A4"/>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5E54"/>
    <w:rsid w:val="008F6F93"/>
    <w:rsid w:val="0090095C"/>
    <w:rsid w:val="00901225"/>
    <w:rsid w:val="00901C4F"/>
    <w:rsid w:val="009023EC"/>
    <w:rsid w:val="00902852"/>
    <w:rsid w:val="00903412"/>
    <w:rsid w:val="009037DA"/>
    <w:rsid w:val="00904B64"/>
    <w:rsid w:val="0090593A"/>
    <w:rsid w:val="00905A17"/>
    <w:rsid w:val="00905A82"/>
    <w:rsid w:val="0090660A"/>
    <w:rsid w:val="00906AAC"/>
    <w:rsid w:val="00907CDE"/>
    <w:rsid w:val="00910241"/>
    <w:rsid w:val="009108E0"/>
    <w:rsid w:val="00910C86"/>
    <w:rsid w:val="00911963"/>
    <w:rsid w:val="00912025"/>
    <w:rsid w:val="00912A53"/>
    <w:rsid w:val="00913BA3"/>
    <w:rsid w:val="009153CE"/>
    <w:rsid w:val="00915FA7"/>
    <w:rsid w:val="00915FFD"/>
    <w:rsid w:val="00916110"/>
    <w:rsid w:val="00916F9A"/>
    <w:rsid w:val="00917A53"/>
    <w:rsid w:val="00917D53"/>
    <w:rsid w:val="00922B8C"/>
    <w:rsid w:val="00922ED8"/>
    <w:rsid w:val="00924DC3"/>
    <w:rsid w:val="00924F7F"/>
    <w:rsid w:val="00925A9E"/>
    <w:rsid w:val="00927F50"/>
    <w:rsid w:val="00930D5F"/>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1BE1"/>
    <w:rsid w:val="00962611"/>
    <w:rsid w:val="009632D3"/>
    <w:rsid w:val="0096399C"/>
    <w:rsid w:val="009645E4"/>
    <w:rsid w:val="00965AD5"/>
    <w:rsid w:val="00965E5D"/>
    <w:rsid w:val="0097099B"/>
    <w:rsid w:val="009712A2"/>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672"/>
    <w:rsid w:val="00997C34"/>
    <w:rsid w:val="00997D5F"/>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5264"/>
    <w:rsid w:val="009C67CD"/>
    <w:rsid w:val="009C76BF"/>
    <w:rsid w:val="009D080A"/>
    <w:rsid w:val="009D3188"/>
    <w:rsid w:val="009D35AC"/>
    <w:rsid w:val="009D3C61"/>
    <w:rsid w:val="009D4D15"/>
    <w:rsid w:val="009D5491"/>
    <w:rsid w:val="009D71E4"/>
    <w:rsid w:val="009D7BE9"/>
    <w:rsid w:val="009E03E2"/>
    <w:rsid w:val="009E0AF1"/>
    <w:rsid w:val="009E1709"/>
    <w:rsid w:val="009E359D"/>
    <w:rsid w:val="009E4419"/>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C64"/>
    <w:rsid w:val="00A10E17"/>
    <w:rsid w:val="00A10EEA"/>
    <w:rsid w:val="00A13A19"/>
    <w:rsid w:val="00A16438"/>
    <w:rsid w:val="00A16D83"/>
    <w:rsid w:val="00A17A7E"/>
    <w:rsid w:val="00A17B8E"/>
    <w:rsid w:val="00A17E3A"/>
    <w:rsid w:val="00A213E7"/>
    <w:rsid w:val="00A222DB"/>
    <w:rsid w:val="00A237A9"/>
    <w:rsid w:val="00A2490D"/>
    <w:rsid w:val="00A249E8"/>
    <w:rsid w:val="00A24E21"/>
    <w:rsid w:val="00A25622"/>
    <w:rsid w:val="00A26651"/>
    <w:rsid w:val="00A26D7A"/>
    <w:rsid w:val="00A27079"/>
    <w:rsid w:val="00A300FE"/>
    <w:rsid w:val="00A3049E"/>
    <w:rsid w:val="00A319DC"/>
    <w:rsid w:val="00A31E2C"/>
    <w:rsid w:val="00A3407A"/>
    <w:rsid w:val="00A34B7F"/>
    <w:rsid w:val="00A37A79"/>
    <w:rsid w:val="00A40468"/>
    <w:rsid w:val="00A404DA"/>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3B"/>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86C4A"/>
    <w:rsid w:val="00A8792D"/>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2732"/>
    <w:rsid w:val="00AB2C10"/>
    <w:rsid w:val="00AB4B04"/>
    <w:rsid w:val="00AB4BB0"/>
    <w:rsid w:val="00AB6C8C"/>
    <w:rsid w:val="00AB7342"/>
    <w:rsid w:val="00AB76E6"/>
    <w:rsid w:val="00AB7CDA"/>
    <w:rsid w:val="00AC2273"/>
    <w:rsid w:val="00AC2629"/>
    <w:rsid w:val="00AC45CF"/>
    <w:rsid w:val="00AC4A58"/>
    <w:rsid w:val="00AC53CA"/>
    <w:rsid w:val="00AC6EE4"/>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42E2"/>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0964"/>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00C6"/>
    <w:rsid w:val="00B94860"/>
    <w:rsid w:val="00B94B37"/>
    <w:rsid w:val="00B94F29"/>
    <w:rsid w:val="00B95548"/>
    <w:rsid w:val="00B967A4"/>
    <w:rsid w:val="00B96883"/>
    <w:rsid w:val="00B96C98"/>
    <w:rsid w:val="00B9799D"/>
    <w:rsid w:val="00BA10D1"/>
    <w:rsid w:val="00BA1612"/>
    <w:rsid w:val="00BA2188"/>
    <w:rsid w:val="00BA396D"/>
    <w:rsid w:val="00BA437C"/>
    <w:rsid w:val="00BA5030"/>
    <w:rsid w:val="00BA5491"/>
    <w:rsid w:val="00BB0329"/>
    <w:rsid w:val="00BB03CA"/>
    <w:rsid w:val="00BB08C5"/>
    <w:rsid w:val="00BB12E3"/>
    <w:rsid w:val="00BB27C3"/>
    <w:rsid w:val="00BB2B28"/>
    <w:rsid w:val="00BB3D03"/>
    <w:rsid w:val="00BB3D0B"/>
    <w:rsid w:val="00BB3F7D"/>
    <w:rsid w:val="00BB72B2"/>
    <w:rsid w:val="00BB7550"/>
    <w:rsid w:val="00BB7854"/>
    <w:rsid w:val="00BC056D"/>
    <w:rsid w:val="00BC074F"/>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74A"/>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09A"/>
    <w:rsid w:val="00C304CE"/>
    <w:rsid w:val="00C30DDD"/>
    <w:rsid w:val="00C313C1"/>
    <w:rsid w:val="00C31A63"/>
    <w:rsid w:val="00C321DA"/>
    <w:rsid w:val="00C33014"/>
    <w:rsid w:val="00C33128"/>
    <w:rsid w:val="00C34F3C"/>
    <w:rsid w:val="00C35050"/>
    <w:rsid w:val="00C35731"/>
    <w:rsid w:val="00C3614F"/>
    <w:rsid w:val="00C376A8"/>
    <w:rsid w:val="00C37864"/>
    <w:rsid w:val="00C37CE0"/>
    <w:rsid w:val="00C40437"/>
    <w:rsid w:val="00C40D46"/>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5F0F"/>
    <w:rsid w:val="00C56763"/>
    <w:rsid w:val="00C56CE9"/>
    <w:rsid w:val="00C5796F"/>
    <w:rsid w:val="00C57F1D"/>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8541B"/>
    <w:rsid w:val="00C91127"/>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4DD2"/>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03AF"/>
    <w:rsid w:val="00CE2BBC"/>
    <w:rsid w:val="00CE2D4D"/>
    <w:rsid w:val="00CE3DBF"/>
    <w:rsid w:val="00CE6392"/>
    <w:rsid w:val="00CE6F44"/>
    <w:rsid w:val="00CE7B6A"/>
    <w:rsid w:val="00CF0504"/>
    <w:rsid w:val="00CF1666"/>
    <w:rsid w:val="00CF24E7"/>
    <w:rsid w:val="00CF27F6"/>
    <w:rsid w:val="00CF2CE4"/>
    <w:rsid w:val="00CF438E"/>
    <w:rsid w:val="00CF59B5"/>
    <w:rsid w:val="00CF6620"/>
    <w:rsid w:val="00CF7AC7"/>
    <w:rsid w:val="00D0074E"/>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1468"/>
    <w:rsid w:val="00D42876"/>
    <w:rsid w:val="00D43BF3"/>
    <w:rsid w:val="00D43F8A"/>
    <w:rsid w:val="00D44083"/>
    <w:rsid w:val="00D44250"/>
    <w:rsid w:val="00D444AC"/>
    <w:rsid w:val="00D44614"/>
    <w:rsid w:val="00D479A2"/>
    <w:rsid w:val="00D507E6"/>
    <w:rsid w:val="00D51A80"/>
    <w:rsid w:val="00D524F1"/>
    <w:rsid w:val="00D531E4"/>
    <w:rsid w:val="00D539BD"/>
    <w:rsid w:val="00D54A9D"/>
    <w:rsid w:val="00D55D10"/>
    <w:rsid w:val="00D56636"/>
    <w:rsid w:val="00D56829"/>
    <w:rsid w:val="00D570DB"/>
    <w:rsid w:val="00D57698"/>
    <w:rsid w:val="00D60013"/>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6AB8"/>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23F"/>
    <w:rsid w:val="00DC16CF"/>
    <w:rsid w:val="00DC221F"/>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07ACB"/>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04A"/>
    <w:rsid w:val="00E33A17"/>
    <w:rsid w:val="00E33C8B"/>
    <w:rsid w:val="00E344CA"/>
    <w:rsid w:val="00E3555C"/>
    <w:rsid w:val="00E37210"/>
    <w:rsid w:val="00E374BE"/>
    <w:rsid w:val="00E416A3"/>
    <w:rsid w:val="00E4282E"/>
    <w:rsid w:val="00E42BE8"/>
    <w:rsid w:val="00E43882"/>
    <w:rsid w:val="00E459B2"/>
    <w:rsid w:val="00E47E29"/>
    <w:rsid w:val="00E50537"/>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3D1D"/>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27CA"/>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86A"/>
    <w:rsid w:val="00EE6964"/>
    <w:rsid w:val="00EE781E"/>
    <w:rsid w:val="00EF4AF0"/>
    <w:rsid w:val="00EF4F24"/>
    <w:rsid w:val="00EF7297"/>
    <w:rsid w:val="00EF7940"/>
    <w:rsid w:val="00F000CB"/>
    <w:rsid w:val="00F0073B"/>
    <w:rsid w:val="00F00A89"/>
    <w:rsid w:val="00F01209"/>
    <w:rsid w:val="00F01DC5"/>
    <w:rsid w:val="00F023EC"/>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1A74"/>
    <w:rsid w:val="00F4305B"/>
    <w:rsid w:val="00F43DB0"/>
    <w:rsid w:val="00F441A9"/>
    <w:rsid w:val="00F45E1F"/>
    <w:rsid w:val="00F46BCC"/>
    <w:rsid w:val="00F46EA5"/>
    <w:rsid w:val="00F474B0"/>
    <w:rsid w:val="00F47617"/>
    <w:rsid w:val="00F51215"/>
    <w:rsid w:val="00F513B9"/>
    <w:rsid w:val="00F515FE"/>
    <w:rsid w:val="00F521AA"/>
    <w:rsid w:val="00F529FC"/>
    <w:rsid w:val="00F53248"/>
    <w:rsid w:val="00F53CAD"/>
    <w:rsid w:val="00F560B4"/>
    <w:rsid w:val="00F56208"/>
    <w:rsid w:val="00F5643C"/>
    <w:rsid w:val="00F61D07"/>
    <w:rsid w:val="00F61D0C"/>
    <w:rsid w:val="00F6286C"/>
    <w:rsid w:val="00F635D2"/>
    <w:rsid w:val="00F63947"/>
    <w:rsid w:val="00F64000"/>
    <w:rsid w:val="00F64EE3"/>
    <w:rsid w:val="00F6646D"/>
    <w:rsid w:val="00F67ECD"/>
    <w:rsid w:val="00F721B2"/>
    <w:rsid w:val="00F73CB8"/>
    <w:rsid w:val="00F757D4"/>
    <w:rsid w:val="00F76903"/>
    <w:rsid w:val="00F77A2B"/>
    <w:rsid w:val="00F80794"/>
    <w:rsid w:val="00F81E17"/>
    <w:rsid w:val="00F8203A"/>
    <w:rsid w:val="00F82185"/>
    <w:rsid w:val="00F82B48"/>
    <w:rsid w:val="00F8317F"/>
    <w:rsid w:val="00F8586B"/>
    <w:rsid w:val="00F85A11"/>
    <w:rsid w:val="00F873EF"/>
    <w:rsid w:val="00F87763"/>
    <w:rsid w:val="00F87D2E"/>
    <w:rsid w:val="00F90E98"/>
    <w:rsid w:val="00F9137A"/>
    <w:rsid w:val="00F94BF7"/>
    <w:rsid w:val="00F9678D"/>
    <w:rsid w:val="00F96B14"/>
    <w:rsid w:val="00FA084C"/>
    <w:rsid w:val="00FA2026"/>
    <w:rsid w:val="00FA2436"/>
    <w:rsid w:val="00FA41E1"/>
    <w:rsid w:val="00FA54BA"/>
    <w:rsid w:val="00FA5A75"/>
    <w:rsid w:val="00FA646F"/>
    <w:rsid w:val="00FA718A"/>
    <w:rsid w:val="00FA726A"/>
    <w:rsid w:val="00FA7CCD"/>
    <w:rsid w:val="00FB0270"/>
    <w:rsid w:val="00FB3AD6"/>
    <w:rsid w:val="00FB3F7D"/>
    <w:rsid w:val="00FC018E"/>
    <w:rsid w:val="00FC0B78"/>
    <w:rsid w:val="00FC1092"/>
    <w:rsid w:val="00FC201D"/>
    <w:rsid w:val="00FC28A5"/>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0989"/>
    <w:rsid w:val="00FE1A58"/>
    <w:rsid w:val="00FE38F1"/>
    <w:rsid w:val="00FE4724"/>
    <w:rsid w:val="00FE6C3D"/>
    <w:rsid w:val="00FE7552"/>
    <w:rsid w:val="00FF08B9"/>
    <w:rsid w:val="00FF0D03"/>
    <w:rsid w:val="00FF1231"/>
    <w:rsid w:val="00FF1C1C"/>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E853D9E"/>
  <w15:chartTrackingRefBased/>
  <w15:docId w15:val="{ACF2A37A-1293-4B13-8173-ACCC48E30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8B0511"/>
    <w:rPr>
      <w:b/>
      <w:smallCaps/>
      <w:sz w:val="28"/>
      <w:u w:val="single"/>
      <w:lang w:eastAsia="en-US"/>
    </w:rPr>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customStyle="1" w:styleId="NotedebasdepageCar">
    <w:name w:val="Note de bas de page Car"/>
    <w:basedOn w:val="Policepardfaut"/>
    <w:link w:val="Notedebasdepage"/>
    <w:semiHidden/>
    <w:rsid w:val="005A6E25"/>
    <w:rPr>
      <w:lang w:val="en-GB" w:eastAsia="ko-KR"/>
    </w:r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character" w:customStyle="1" w:styleId="PieddepageCar">
    <w:name w:val="Pied de page Car"/>
    <w:basedOn w:val="Policepardfaut"/>
    <w:link w:val="Pieddepage"/>
    <w:uiPriority w:val="99"/>
    <w:rsid w:val="00D36A2D"/>
    <w:rPr>
      <w:lang w:val="en-GB" w:eastAsia="ko-KR"/>
    </w:rPr>
  </w:style>
  <w:style w:type="paragraph" w:styleId="En-tte">
    <w:name w:val="header"/>
    <w:basedOn w:val="Normal"/>
    <w:link w:val="En-tteCar"/>
    <w:pPr>
      <w:tabs>
        <w:tab w:val="center" w:pos="4153"/>
        <w:tab w:val="right" w:pos="8306"/>
      </w:tabs>
    </w:pPr>
  </w:style>
  <w:style w:type="character" w:customStyle="1" w:styleId="En-tteCar">
    <w:name w:val="En-tête Car"/>
    <w:basedOn w:val="Policepardfaut"/>
    <w:link w:val="En-tte"/>
    <w:rsid w:val="00CA6785"/>
    <w:rPr>
      <w:lang w:val="en-GB" w:eastAsia="ko-KR"/>
    </w:r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character" w:customStyle="1" w:styleId="CommentaireCar">
    <w:name w:val="Commentaire Car"/>
    <w:link w:val="Commentaire"/>
    <w:uiPriority w:val="99"/>
    <w:rsid w:val="002C323D"/>
    <w:rPr>
      <w:lang w:eastAsia="ko-KR"/>
    </w:rPr>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Heading1contractChar">
    <w:name w:val="Heading 1 contract Char"/>
    <w:link w:val="Heading1contract"/>
    <w:rsid w:val="005E6B2B"/>
    <w:rPr>
      <w:b/>
      <w:caps/>
      <w:sz w:val="28"/>
      <w:u w:val="single"/>
      <w:lang w:eastAsia="ko-KR"/>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Rvision">
    <w:name w:val="Revision"/>
    <w:hidden/>
    <w:uiPriority w:val="99"/>
    <w:semiHidden/>
    <w:rsid w:val="00692E56"/>
  </w:style>
  <w:style w:type="character" w:customStyle="1" w:styleId="sous-titre">
    <w:name w:val="sous-titre"/>
    <w:basedOn w:val="Policepardfaut"/>
    <w:rsid w:val="00862D3F"/>
  </w:style>
  <w:style w:type="paragraph" w:styleId="NormalWeb">
    <w:name w:val="Normal (Web)"/>
    <w:basedOn w:val="Normal"/>
    <w:uiPriority w:val="99"/>
    <w:unhideWhenUsed/>
    <w:rsid w:val="00965AD5"/>
    <w:rPr>
      <w:rFonts w:ascii="Times New Roman" w:hAnsi="Times New Roman"/>
      <w:sz w:val="24"/>
    </w:rPr>
  </w:style>
  <w:style w:type="paragraph" w:styleId="En-ttedetabledesmatires">
    <w:name w:val="TOC Heading"/>
    <w:basedOn w:val="Titre1"/>
    <w:next w:val="Normal"/>
    <w:uiPriority w:val="39"/>
    <w:unhideWhenUsed/>
    <w:qFormat/>
    <w:rsid w:val="00345D42"/>
    <w:pPr>
      <w:keepLines/>
      <w:numPr>
        <w:numId w:val="0"/>
      </w:numPr>
      <w:spacing w:beforeAutospacing="0" w:after="0" w:afterAutospacing="0" w:line="259" w:lineRule="auto"/>
      <w:jc w:val="left"/>
      <w:outlineLvl w:val="9"/>
    </w:pPr>
    <w:rPr>
      <w:rFonts w:asciiTheme="majorHAnsi" w:eastAsiaTheme="majorEastAsia" w:hAnsiTheme="majorHAnsi" w:cstheme="majorBidi"/>
      <w:b w:val="0"/>
      <w:smallCaps w:val="0"/>
      <w:color w:val="2E74B5" w:themeColor="accent1" w:themeShade="BF"/>
      <w:sz w:val="32"/>
      <w:szCs w:val="32"/>
      <w:lang w:eastAsia="fr-FR"/>
    </w:rPr>
  </w:style>
  <w:style w:type="paragraph" w:styleId="TM1">
    <w:name w:val="toc 1"/>
    <w:basedOn w:val="Normal"/>
    <w:next w:val="Normal"/>
    <w:autoRedefine/>
    <w:uiPriority w:val="39"/>
    <w:rsid w:val="00345D42"/>
  </w:style>
  <w:style w:type="paragraph" w:styleId="TM2">
    <w:name w:val="toc 2"/>
    <w:basedOn w:val="Normal"/>
    <w:next w:val="Normal"/>
    <w:autoRedefine/>
    <w:uiPriority w:val="39"/>
    <w:rsid w:val="00345D42"/>
    <w:pPr>
      <w:ind w:left="200"/>
    </w:pPr>
  </w:style>
  <w:style w:type="paragraph" w:styleId="TM3">
    <w:name w:val="toc 3"/>
    <w:basedOn w:val="Normal"/>
    <w:next w:val="Normal"/>
    <w:autoRedefine/>
    <w:uiPriority w:val="39"/>
    <w:rsid w:val="00345D42"/>
    <w:pPr>
      <w:ind w:left="400"/>
    </w:pPr>
  </w:style>
  <w:style w:type="paragraph" w:styleId="TM4">
    <w:name w:val="toc 4"/>
    <w:basedOn w:val="Normal"/>
    <w:next w:val="Normal"/>
    <w:autoRedefine/>
    <w:uiPriority w:val="39"/>
    <w:unhideWhenUsed/>
    <w:rsid w:val="00E07ACB"/>
    <w:pPr>
      <w:spacing w:before="0" w:beforeAutospacing="0" w:afterAutospacing="0" w:line="259" w:lineRule="auto"/>
      <w:ind w:left="660"/>
    </w:pPr>
    <w:rPr>
      <w:rFonts w:eastAsiaTheme="minorEastAsia" w:cstheme="minorBidi"/>
      <w:sz w:val="22"/>
      <w:szCs w:val="22"/>
    </w:rPr>
  </w:style>
  <w:style w:type="paragraph" w:styleId="TM5">
    <w:name w:val="toc 5"/>
    <w:basedOn w:val="Normal"/>
    <w:next w:val="Normal"/>
    <w:autoRedefine/>
    <w:uiPriority w:val="39"/>
    <w:unhideWhenUsed/>
    <w:rsid w:val="00E07ACB"/>
    <w:pPr>
      <w:spacing w:before="0" w:beforeAutospacing="0" w:afterAutospacing="0" w:line="259" w:lineRule="auto"/>
      <w:ind w:left="880"/>
    </w:pPr>
    <w:rPr>
      <w:rFonts w:eastAsiaTheme="minorEastAsia" w:cstheme="minorBidi"/>
      <w:sz w:val="22"/>
      <w:szCs w:val="22"/>
    </w:rPr>
  </w:style>
  <w:style w:type="paragraph" w:styleId="TM6">
    <w:name w:val="toc 6"/>
    <w:basedOn w:val="Normal"/>
    <w:next w:val="Normal"/>
    <w:autoRedefine/>
    <w:uiPriority w:val="39"/>
    <w:unhideWhenUsed/>
    <w:rsid w:val="00E07ACB"/>
    <w:pPr>
      <w:spacing w:before="0" w:beforeAutospacing="0" w:afterAutospacing="0" w:line="259" w:lineRule="auto"/>
      <w:ind w:left="1100"/>
    </w:pPr>
    <w:rPr>
      <w:rFonts w:eastAsiaTheme="minorEastAsia" w:cstheme="minorBidi"/>
      <w:sz w:val="22"/>
      <w:szCs w:val="22"/>
    </w:rPr>
  </w:style>
  <w:style w:type="paragraph" w:styleId="TM7">
    <w:name w:val="toc 7"/>
    <w:basedOn w:val="Normal"/>
    <w:next w:val="Normal"/>
    <w:autoRedefine/>
    <w:uiPriority w:val="39"/>
    <w:unhideWhenUsed/>
    <w:rsid w:val="00E07ACB"/>
    <w:pPr>
      <w:spacing w:before="0" w:beforeAutospacing="0" w:afterAutospacing="0" w:line="259" w:lineRule="auto"/>
      <w:ind w:left="1320"/>
    </w:pPr>
    <w:rPr>
      <w:rFonts w:eastAsiaTheme="minorEastAsia" w:cstheme="minorBidi"/>
      <w:sz w:val="22"/>
      <w:szCs w:val="22"/>
    </w:rPr>
  </w:style>
  <w:style w:type="paragraph" w:styleId="TM8">
    <w:name w:val="toc 8"/>
    <w:basedOn w:val="Normal"/>
    <w:next w:val="Normal"/>
    <w:autoRedefine/>
    <w:uiPriority w:val="39"/>
    <w:unhideWhenUsed/>
    <w:rsid w:val="00E07ACB"/>
    <w:pPr>
      <w:spacing w:before="0" w:beforeAutospacing="0" w:afterAutospacing="0" w:line="259" w:lineRule="auto"/>
      <w:ind w:left="1540"/>
    </w:pPr>
    <w:rPr>
      <w:rFonts w:eastAsiaTheme="minorEastAsia" w:cstheme="minorBidi"/>
      <w:sz w:val="22"/>
      <w:szCs w:val="22"/>
    </w:rPr>
  </w:style>
  <w:style w:type="paragraph" w:styleId="TM9">
    <w:name w:val="toc 9"/>
    <w:basedOn w:val="Normal"/>
    <w:next w:val="Normal"/>
    <w:autoRedefine/>
    <w:uiPriority w:val="39"/>
    <w:unhideWhenUsed/>
    <w:rsid w:val="00E07ACB"/>
    <w:pPr>
      <w:spacing w:before="0" w:beforeAutospacing="0" w:afterAutospacing="0" w:line="259" w:lineRule="auto"/>
      <w:ind w:left="1760"/>
    </w:pPr>
    <w:rPr>
      <w:rFonts w:eastAsiaTheme="minorEastAs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282267627">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19797826">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26143229">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473711446">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52101987">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4930225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3660390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88764575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footer" Target="footer1.xml"/><Relationship Id="rId26" Type="http://schemas.openxmlformats.org/officeDocument/2006/relationships/header" Target="header3.xml"/><Relationship Id="rId21" Type="http://schemas.openxmlformats.org/officeDocument/2006/relationships/footer" Target="footer3.xml"/><Relationship Id="rId34"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yperlink" Target="mailto:informatique.libertes@expertisefrance.fr" TargetMode="External"/><Relationship Id="rId33" Type="http://schemas.openxmlformats.org/officeDocument/2006/relationships/hyperlink" Target="https://www.sanctionsmap.e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header" Target="header2.xml"/><Relationship Id="rId29" Type="http://schemas.openxmlformats.org/officeDocument/2006/relationships/package" Target="embeddings/Feuille_de_calcul_Microsoft_Excel.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http://www.expertisefrance.fr" TargetMode="External"/><Relationship Id="rId32" Type="http://schemas.openxmlformats.org/officeDocument/2006/relationships/hyperlink" Target="https://www.un.org/securitycouncil/content/un-sc-consolidated-list"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image" Target="media/image3.emf"/><Relationship Id="rId36" Type="http://schemas.openxmlformats.org/officeDocument/2006/relationships/header" Target="header5.xml"/><Relationship Id="rId10" Type="http://schemas.openxmlformats.org/officeDocument/2006/relationships/hyperlink" Target="http://www.insee.fr" TargetMode="External"/><Relationship Id="rId19" Type="http://schemas.openxmlformats.org/officeDocument/2006/relationships/footer" Target="footer2.xml"/><Relationship Id="rId31"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openxmlformats.org/officeDocument/2006/relationships/header" Target="header4.xml"/><Relationship Id="rId35" Type="http://schemas.openxmlformats.org/officeDocument/2006/relationships/hyperlink" Target="https://www.worldbank.org/en/projects-operations/procurement/debarred-firms" TargetMode="Externa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goire.schaeffer\Documents\_PSO\AC%20GT\2025_UE\AO2025\dce\Accord-cadre%20de%20prestation%20de%20services%20-%20Audits%20DO_VF.docx.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4E393FF2-DA03-4C31-9917-58FAD8C4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Accord-cadre de prestation de services - Audits DO_VF.docx.dotx</Template>
  <TotalTime>11</TotalTime>
  <Pages>47</Pages>
  <Words>14522</Words>
  <Characters>79876</Characters>
  <Application>Microsoft Office Word</Application>
  <DocSecurity>0</DocSecurity>
  <Lines>665</Lines>
  <Paragraphs>188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94210</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Gregoire SCHAEFFER</dc:creator>
  <cp:keywords/>
  <dc:description/>
  <cp:lastModifiedBy>Irvika LEDAGA</cp:lastModifiedBy>
  <cp:revision>21</cp:revision>
  <cp:lastPrinted>2016-12-12T14:17:00Z</cp:lastPrinted>
  <dcterms:created xsi:type="dcterms:W3CDTF">2025-06-26T16:42:00Z</dcterms:created>
  <dcterms:modified xsi:type="dcterms:W3CDTF">2025-06-26T16:53:00Z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